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B6" w:rsidRDefault="005D76AE">
      <w:bookmarkStart w:id="0" w:name="_GoBack"/>
      <w:bookmarkEnd w:id="0"/>
      <w:r w:rsidRPr="005D76AE">
        <w:t xml:space="preserve">Moltes gràcies </w:t>
      </w:r>
      <w:proofErr w:type="spellStart"/>
      <w:r w:rsidRPr="005D76AE">
        <w:t>Sra</w:t>
      </w:r>
      <w:proofErr w:type="spellEnd"/>
      <w:r w:rsidRPr="005D76AE">
        <w:t xml:space="preserve"> Batlessa,</w:t>
      </w:r>
    </w:p>
    <w:p w:rsidR="005D76AE" w:rsidRPr="009E58BE" w:rsidRDefault="005D76AE">
      <w:r w:rsidRPr="009E58BE">
        <w:t>I moltes gràcies per les seves explicacions tot i no coincidir en pràcticament res e</w:t>
      </w:r>
      <w:r w:rsidR="009E58BE" w:rsidRPr="009E58BE">
        <w:t>l sòl acte de debat permetrà, d</w:t>
      </w:r>
      <w:r w:rsidRPr="009E58BE">
        <w:t>e</w:t>
      </w:r>
      <w:r w:rsidR="009E58BE" w:rsidRPr="009E58BE">
        <w:t xml:space="preserve"> </w:t>
      </w:r>
      <w:r w:rsidRPr="009E58BE">
        <w:t xml:space="preserve">ben segur, que la gent es pugui endur la idea tant del </w:t>
      </w:r>
      <w:r w:rsidR="009E58BE" w:rsidRPr="009E58BE">
        <w:t xml:space="preserve">que defensa el </w:t>
      </w:r>
      <w:r w:rsidRPr="009E58BE">
        <w:t xml:space="preserve">govern municipal com </w:t>
      </w:r>
      <w:r w:rsidR="009E58BE" w:rsidRPr="009E58BE">
        <w:t>el que defensa el</w:t>
      </w:r>
      <w:r w:rsidRPr="009E58BE">
        <w:t xml:space="preserve"> grup de l’oposició.</w:t>
      </w:r>
    </w:p>
    <w:p w:rsidR="005D76AE" w:rsidRPr="009E58BE" w:rsidRDefault="005D76AE">
      <w:r w:rsidRPr="009E58BE">
        <w:t>Com moltes vegades li he dit en aquest mateix plenari, sembla que vivim a Ciutats diferents</w:t>
      </w:r>
      <w:r w:rsidR="007E4B28" w:rsidRPr="009E58BE">
        <w:t>.</w:t>
      </w:r>
    </w:p>
    <w:p w:rsidR="007E4B28" w:rsidRPr="009E58BE" w:rsidRDefault="007E4B28">
      <w:r w:rsidRPr="009E58BE">
        <w:t>Vostè ven una realitat que des del nostre grup no només no compartim sinó que endemés creiem que no és la que està vivint la gent de Maó.</w:t>
      </w:r>
    </w:p>
    <w:p w:rsidR="009E58BE" w:rsidRPr="009E58BE" w:rsidRDefault="009E58BE">
      <w:r w:rsidRPr="009E58BE">
        <w:t>Però en qualsevol cas, tal com deia Einstein:</w:t>
      </w:r>
    </w:p>
    <w:p w:rsidR="009E58BE" w:rsidRPr="009E58BE" w:rsidRDefault="00944553">
      <w:r>
        <w:t>“La realitat</w:t>
      </w:r>
      <w:r w:rsidR="009E58BE" w:rsidRPr="009E58BE">
        <w:t xml:space="preserve"> no es </w:t>
      </w:r>
      <w:r>
        <w:t>altra cosa que la capacitat que tenen els nostres sentits d’enganar-se”</w:t>
      </w:r>
      <w:r w:rsidR="009E58BE" w:rsidRPr="009E58BE">
        <w:t xml:space="preserve"> i sota la nostra opinió vostè els ha enganat molt el seus sentits</w:t>
      </w:r>
      <w:r w:rsidR="00FA657B">
        <w:t xml:space="preserve"> si la posició que ens ha dit aquí creu que és la realitat.</w:t>
      </w:r>
    </w:p>
    <w:p w:rsidR="007E4B28" w:rsidRDefault="007E4B28">
      <w:r>
        <w:t xml:space="preserve">Vostè </w:t>
      </w:r>
      <w:proofErr w:type="spellStart"/>
      <w:r>
        <w:t>sra</w:t>
      </w:r>
      <w:proofErr w:type="spellEnd"/>
      <w:r>
        <w:t xml:space="preserve"> </w:t>
      </w:r>
      <w:proofErr w:type="spellStart"/>
      <w:r>
        <w:t>Reynés</w:t>
      </w:r>
      <w:proofErr w:type="spellEnd"/>
      <w:r>
        <w:t xml:space="preserve"> va assolir l’alcaldia amb un suport </w:t>
      </w:r>
      <w:r w:rsidR="00944553">
        <w:t>important, un suport que avui és socialment molt més dèbil</w:t>
      </w:r>
      <w:r>
        <w:t>. Una confiança per resoldre problemes però sobretot per complir tot allò que prometia durant campanya.</w:t>
      </w:r>
    </w:p>
    <w:p w:rsidR="007E4B28" w:rsidRDefault="007E4B28">
      <w:r>
        <w:t xml:space="preserve">Per açò és necessari passar comptes a l’equador del mandat. 2 anys on vostès en solitari són els responsables </w:t>
      </w:r>
      <w:r w:rsidR="00FA657B">
        <w:t>ÚNICS</w:t>
      </w:r>
      <w:r>
        <w:t xml:space="preserve"> de les decisions.</w:t>
      </w:r>
    </w:p>
    <w:p w:rsidR="007E4B28" w:rsidRDefault="007E4B28">
      <w:r>
        <w:t xml:space="preserve">No hi hagut plenari que no s’hagin referit a l’herència rebuda però senyora </w:t>
      </w:r>
      <w:proofErr w:type="spellStart"/>
      <w:r>
        <w:t>R</w:t>
      </w:r>
      <w:r w:rsidR="00FA657B">
        <w:t>eynés</w:t>
      </w:r>
      <w:proofErr w:type="spellEnd"/>
      <w:r w:rsidR="00FA657B">
        <w:t xml:space="preserve"> li queda poc per seguir ex</w:t>
      </w:r>
      <w:r>
        <w:t xml:space="preserve">primint aquest argument. Prest vostès duran el mateix temps que jo </w:t>
      </w:r>
      <w:r w:rsidR="009156C4">
        <w:t xml:space="preserve">ostentant </w:t>
      </w:r>
      <w:r w:rsidR="00FA657B">
        <w:t>responsabilitats</w:t>
      </w:r>
      <w:r w:rsidR="009156C4">
        <w:t xml:space="preserve"> de govern.</w:t>
      </w:r>
    </w:p>
    <w:p w:rsidR="00944553" w:rsidRDefault="00944553">
      <w:r>
        <w:t xml:space="preserve">I li diré més jo estic content de la gestió dels 28 anys de governs socialistes, per tant no em fa sentir malament quan em </w:t>
      </w:r>
      <w:proofErr w:type="spellStart"/>
      <w:r>
        <w:t>responsbailitza</w:t>
      </w:r>
      <w:proofErr w:type="spellEnd"/>
      <w:r>
        <w:t xml:space="preserve"> de tots ells però li diré una cosa si jo som responsable dels 28 ho seré en el mateix grau que vostè ho és de les decisions que està prenent el PP a la resta d’institucions i que tan poc li agrada discutir en aquest plenari. Si </w:t>
      </w:r>
      <w:proofErr w:type="spellStart"/>
      <w:r>
        <w:t>sra</w:t>
      </w:r>
      <w:proofErr w:type="spellEnd"/>
      <w:r>
        <w:t xml:space="preserve"> Batlessa jo formaré part d’un projecte socialista de 28 anys a maó però vostè forma part d’un partit que en aquests poc més de 20 mesos ens està fent retrocedir més de 30 anys.</w:t>
      </w:r>
    </w:p>
    <w:p w:rsidR="009156C4" w:rsidRDefault="009156C4">
      <w:r>
        <w:t xml:space="preserve">2 anys que han </w:t>
      </w:r>
      <w:r w:rsidR="00FA657B">
        <w:t>ti</w:t>
      </w:r>
      <w:r>
        <w:t xml:space="preserve">ngut sempre el retrovisor posat i el retret al llavi. </w:t>
      </w:r>
    </w:p>
    <w:p w:rsidR="009156C4" w:rsidRDefault="00FA657B">
      <w:r>
        <w:t>2 anys que van vendre i l</w:t>
      </w:r>
      <w:r w:rsidR="009156C4">
        <w:t>a</w:t>
      </w:r>
      <w:r>
        <w:t xml:space="preserve"> </w:t>
      </w:r>
      <w:r w:rsidR="009156C4">
        <w:t>gent</w:t>
      </w:r>
      <w:r>
        <w:t xml:space="preserve"> va confiar en que les coses a M</w:t>
      </w:r>
      <w:r w:rsidR="009156C4">
        <w:t>aó anirien millor.</w:t>
      </w:r>
    </w:p>
    <w:p w:rsidR="009156C4" w:rsidRDefault="009156C4">
      <w:r>
        <w:t>Sempre hem dit que per acció o per omissió n’és vostè la única responsable de totes i cad</w:t>
      </w:r>
      <w:r w:rsidR="00FA657B">
        <w:t>a</w:t>
      </w:r>
      <w:r>
        <w:t>scune</w:t>
      </w:r>
      <w:r w:rsidR="00FA657B">
        <w:t>s de les decisions que han pres com equip de govern.</w:t>
      </w:r>
    </w:p>
    <w:p w:rsidR="009156C4" w:rsidRDefault="009156C4">
      <w:r>
        <w:t>I aquestes decisions no només no han resolt alguns dels problemes sinó que n’ha creat de nou i molts.</w:t>
      </w:r>
    </w:p>
    <w:p w:rsidR="009156C4" w:rsidRDefault="00162501">
      <w:r>
        <w:t>Tenim una ciutat més cara, amb pitjors serveis. Però el més trist tenim més gent que ho passa malament. Bé perquè no té feina, bé perquè no pot accedir ni tan sols a un mínim coixí social que li permeti passar dignament aquest mal tràngol.</w:t>
      </w:r>
    </w:p>
    <w:p w:rsidR="00162501" w:rsidRDefault="00162501">
      <w:proofErr w:type="spellStart"/>
      <w:r>
        <w:lastRenderedPageBreak/>
        <w:t>Sra</w:t>
      </w:r>
      <w:proofErr w:type="spellEnd"/>
      <w:r>
        <w:t xml:space="preserve"> </w:t>
      </w:r>
      <w:proofErr w:type="spellStart"/>
      <w:r>
        <w:t>Reynés</w:t>
      </w:r>
      <w:proofErr w:type="spellEnd"/>
      <w:r>
        <w:t xml:space="preserve">, és cert o no ho és que un </w:t>
      </w:r>
      <w:proofErr w:type="spellStart"/>
      <w:r>
        <w:t>maones</w:t>
      </w:r>
      <w:proofErr w:type="spellEnd"/>
      <w:r>
        <w:t xml:space="preserve"> o una maonesa paga més impostos o taxes que fa 2 anys?</w:t>
      </w:r>
    </w:p>
    <w:p w:rsidR="00162501" w:rsidRDefault="00162501">
      <w:r>
        <w:t>Vol</w:t>
      </w:r>
      <w:r w:rsidR="00FA657B">
        <w:t xml:space="preserve"> que fem el repàs?. C</w:t>
      </w:r>
      <w:r>
        <w:t>ap maonès ha vist reduït el seu rebut de l’IBI i els 2 exercicis darrers 2012 i 2013 són decisions només seves, del PP.</w:t>
      </w:r>
    </w:p>
    <w:p w:rsidR="00162501" w:rsidRDefault="00162501">
      <w:r>
        <w:t xml:space="preserve">1 </w:t>
      </w:r>
      <w:proofErr w:type="spellStart"/>
      <w:r>
        <w:t>er</w:t>
      </w:r>
      <w:proofErr w:type="spellEnd"/>
      <w:r>
        <w:t xml:space="preserve"> punt del seu programa i repetit fins a la sacietat: cap maonès pagarà 1 euro més d’IBI</w:t>
      </w:r>
      <w:r w:rsidR="00C54E13">
        <w:t>. Vol que li mostri aquella roda</w:t>
      </w:r>
      <w:r w:rsidR="00FA657B">
        <w:t xml:space="preserve"> de premsa quan va assegurar asseguda devora el seu actual primer tinent de batle i president de la junta local del PP, Sr </w:t>
      </w:r>
      <w:proofErr w:type="spellStart"/>
      <w:r w:rsidR="00FA657B">
        <w:t>Gornés</w:t>
      </w:r>
      <w:proofErr w:type="spellEnd"/>
      <w:r w:rsidR="00FA657B">
        <w:t>????</w:t>
      </w:r>
    </w:p>
    <w:p w:rsidR="00C54E13" w:rsidRDefault="00C54E13">
      <w:r>
        <w:t xml:space="preserve">Fa falta que li mostrem rebuts de 600€ </w:t>
      </w:r>
      <w:r w:rsidR="00FA657B">
        <w:t>com deia vostè,</w:t>
      </w:r>
      <w:r w:rsidR="00C623E4">
        <w:t xml:space="preserve"> </w:t>
      </w:r>
      <w:r>
        <w:t>per tal de comprovar si paguen els mateixos 600???</w:t>
      </w:r>
    </w:p>
    <w:p w:rsidR="00FA657B" w:rsidRDefault="00FA657B">
      <w:r>
        <w:t>Miri li demostraré, un pis del barri de ses vinyes:</w:t>
      </w:r>
    </w:p>
    <w:p w:rsidR="00FA657B" w:rsidRDefault="00FA657B">
      <w:r>
        <w:t>IBI 2011: 559.42€</w:t>
      </w:r>
    </w:p>
    <w:p w:rsidR="00FA657B" w:rsidRDefault="00FA657B">
      <w:r>
        <w:t>IBI 2012: 583.37€ (4.2% MÉS)</w:t>
      </w:r>
    </w:p>
    <w:p w:rsidR="00FA657B" w:rsidRDefault="00FA657B">
      <w:r>
        <w:t>IBI 2013: 614.98€ (5.41% MÉS)</w:t>
      </w:r>
    </w:p>
    <w:p w:rsidR="00FA657B" w:rsidRDefault="00FA657B">
      <w:r>
        <w:t>EN 2 ANYS: 9.61% MÉS</w:t>
      </w:r>
    </w:p>
    <w:p w:rsidR="00FA6FDB" w:rsidRDefault="00FA6FDB">
      <w:r>
        <w:t xml:space="preserve">O açò també m’ho negarà? Perquè en motiu de l’aprovació dels pressupostos 2013 i amb informe dins l’expedient vostè va acceptar que l’IBI durant el 2012 s’havia incrementat en 958.000€!!! quasi res, no? 1 milió d’€ més del que havien pressupostat i que </w:t>
      </w:r>
      <w:proofErr w:type="spellStart"/>
      <w:r>
        <w:t>noltrus</w:t>
      </w:r>
      <w:proofErr w:type="spellEnd"/>
      <w:r>
        <w:t xml:space="preserve"> ja li havíem anunciat que així seria.</w:t>
      </w:r>
    </w:p>
    <w:p w:rsidR="00C54E13" w:rsidRDefault="00C54E13">
      <w:r>
        <w:t>Vostè deia en el mateix anunci..., l’hemeroteca juga males passades. També assegurava que congelaria els guals i l’ocupació de via pública.</w:t>
      </w:r>
    </w:p>
    <w:p w:rsidR="00C54E13" w:rsidRDefault="00C54E13">
      <w:r>
        <w:t>Guals, contenciosos i conflicte a totes les barriades.</w:t>
      </w:r>
    </w:p>
    <w:p w:rsidR="00C54E13" w:rsidRDefault="00C54E13">
      <w:r>
        <w:t>Ocupació de via pública: 50% increment per terrasses.</w:t>
      </w:r>
    </w:p>
    <w:p w:rsidR="00C54E13" w:rsidRDefault="00C54E13">
      <w:r>
        <w:t>Mirin, vostè es va presentar amb un lema. Els “canviadors”</w:t>
      </w:r>
      <w:r w:rsidR="00FA657B">
        <w:t xml:space="preserve"> i certament Açò ho</w:t>
      </w:r>
      <w:r w:rsidR="0069015B">
        <w:t xml:space="preserve"> han complert. Han canviat</w:t>
      </w:r>
      <w:r w:rsidR="00950FD6">
        <w:t xml:space="preserve"> fins i tot el seu programa.</w:t>
      </w:r>
    </w:p>
    <w:p w:rsidR="00950FD6" w:rsidRDefault="00503B7F">
      <w:r>
        <w:t>No es preocupi no li faré</w:t>
      </w:r>
      <w:r w:rsidR="00950FD6">
        <w:t xml:space="preserve"> un repàs dels seus 27 punts tot i que no serà per ganes, és únicament per que no se com és que </w:t>
      </w:r>
      <w:proofErr w:type="spellStart"/>
      <w:r w:rsidR="00950FD6">
        <w:t>m’esper</w:t>
      </w:r>
      <w:proofErr w:type="spellEnd"/>
      <w:r w:rsidR="00950FD6">
        <w:t xml:space="preserve"> que serà prou estricte amb el temps.</w:t>
      </w:r>
    </w:p>
    <w:p w:rsidR="00950FD6" w:rsidRDefault="00950FD6">
      <w:r>
        <w:t>Però vostè ha decidit que els maonesos paguin més</w:t>
      </w:r>
      <w:r w:rsidR="00503B7F">
        <w:t>, que paguin més que MAI</w:t>
      </w:r>
      <w:r>
        <w:t>: tots amb l’IBI, la immensa majoria per aparcar, molts amb guals, moltíssims per accedir al poliesportiu, el petit empresariat a qui li va prometre TOT per les terrasses, per l’ocupació de la via pública... i puc seguir.</w:t>
      </w:r>
    </w:p>
    <w:p w:rsidR="00503B7F" w:rsidRDefault="00950FD6">
      <w:r>
        <w:t xml:space="preserve">Per exemple amb allò que li fa tant de mal però que és ben cert, a aquella gent, especialment la gent gran que per poder tenir un servei d’atenció a domicili li ha pujat </w:t>
      </w:r>
      <w:r w:rsidR="00503B7F">
        <w:t>en alguns casos més de 200€.</w:t>
      </w:r>
    </w:p>
    <w:p w:rsidR="00503B7F" w:rsidRDefault="00503B7F">
      <w:r>
        <w:t xml:space="preserve">Sí </w:t>
      </w:r>
      <w:proofErr w:type="spellStart"/>
      <w:r>
        <w:t>Sra</w:t>
      </w:r>
      <w:proofErr w:type="spellEnd"/>
      <w:r>
        <w:t xml:space="preserve"> Batlessa, i en alguns casos augments de entre 150 i 186%.</w:t>
      </w:r>
    </w:p>
    <w:p w:rsidR="00950FD6" w:rsidRDefault="00503B7F">
      <w:r>
        <w:lastRenderedPageBreak/>
        <w:t xml:space="preserve">Sí, </w:t>
      </w:r>
      <w:proofErr w:type="spellStart"/>
      <w:r>
        <w:t>sra</w:t>
      </w:r>
      <w:proofErr w:type="spellEnd"/>
      <w:r>
        <w:t xml:space="preserve"> </w:t>
      </w:r>
      <w:proofErr w:type="spellStart"/>
      <w:r>
        <w:t>balessa</w:t>
      </w:r>
      <w:proofErr w:type="spellEnd"/>
      <w:r>
        <w:t xml:space="preserve"> i ja se que s’enfada però li seguiré dient. Afectant a 43 famílies tot per recaptar d’aquestes persones 82.800€ més</w:t>
      </w:r>
      <w:r w:rsidR="00950FD6">
        <w:t>.</w:t>
      </w:r>
    </w:p>
    <w:p w:rsidR="00FA68E9" w:rsidRDefault="00FA68E9">
      <w:r>
        <w:t xml:space="preserve">Sí, batlessa. Vostè que no només com a batlessa sinó també com a regidora de </w:t>
      </w:r>
      <w:proofErr w:type="spellStart"/>
      <w:r>
        <w:t>serveios</w:t>
      </w:r>
      <w:proofErr w:type="spellEnd"/>
      <w:r>
        <w:t xml:space="preserve"> socials es felicita tant del nou servei de la casa d’acollida que ha deixat de gestionar CARITAS i que des d’aquell moment és més un alberg </w:t>
      </w:r>
      <w:proofErr w:type="spellStart"/>
      <w:r>
        <w:t>qustodiat</w:t>
      </w:r>
      <w:proofErr w:type="spellEnd"/>
      <w:r>
        <w:t xml:space="preserve"> per forces de seguretat que un centre on s’hi realitzi unes feines de seguiment social, psicològic pe </w:t>
      </w:r>
      <w:proofErr w:type="spellStart"/>
      <w:r>
        <w:t>rtal</w:t>
      </w:r>
      <w:proofErr w:type="spellEnd"/>
      <w:r>
        <w:t xml:space="preserve"> de impulsar noves oportunitats a la gent que momentàniament s’hi troba.</w:t>
      </w:r>
    </w:p>
    <w:p w:rsidR="00503B7F" w:rsidRDefault="00503B7F">
      <w:r>
        <w:t>Sí Batlessa vostè pot seguir enganant els seus sentits per tal de voler vendre una realitat concreta però les dades són les que són.</w:t>
      </w:r>
    </w:p>
    <w:p w:rsidR="005A66DF" w:rsidRDefault="005A66DF"/>
    <w:p w:rsidR="005A66DF" w:rsidRDefault="005A66DF"/>
    <w:p w:rsidR="005A66DF" w:rsidRDefault="005A66DF"/>
    <w:p w:rsidR="00503B7F" w:rsidRDefault="00503B7F">
      <w:r>
        <w:t>O és que no s’ha llegit els darrers informes de la mateixa CARITAS????</w:t>
      </w:r>
    </w:p>
    <w:tbl>
      <w:tblPr>
        <w:tblW w:w="7470" w:type="dxa"/>
        <w:tblInd w:w="55" w:type="dxa"/>
        <w:tblCellMar>
          <w:left w:w="70" w:type="dxa"/>
          <w:right w:w="70" w:type="dxa"/>
        </w:tblCellMar>
        <w:tblLook w:val="04A0" w:firstRow="1" w:lastRow="0" w:firstColumn="1" w:lastColumn="0" w:noHBand="0" w:noVBand="1"/>
      </w:tblPr>
      <w:tblGrid>
        <w:gridCol w:w="1864"/>
        <w:gridCol w:w="1863"/>
        <w:gridCol w:w="1863"/>
        <w:gridCol w:w="940"/>
        <w:gridCol w:w="940"/>
      </w:tblGrid>
      <w:tr w:rsidR="005A66DF" w:rsidRPr="005A66DF" w:rsidTr="005A66DF">
        <w:trPr>
          <w:trHeight w:val="255"/>
        </w:trPr>
        <w:tc>
          <w:tcPr>
            <w:tcW w:w="5590" w:type="dxa"/>
            <w:gridSpan w:val="3"/>
            <w:tcBorders>
              <w:top w:val="single" w:sz="4" w:space="0" w:color="auto"/>
              <w:left w:val="single" w:sz="4" w:space="0" w:color="auto"/>
              <w:bottom w:val="nil"/>
              <w:right w:val="nil"/>
            </w:tcBorders>
            <w:shd w:val="clear" w:color="auto" w:fill="auto"/>
            <w:noWrap/>
            <w:vAlign w:val="bottom"/>
            <w:hideMark/>
          </w:tcPr>
          <w:p w:rsidR="005A66DF" w:rsidRPr="005A66DF" w:rsidRDefault="005A66DF" w:rsidP="005A66DF">
            <w:pPr>
              <w:rPr>
                <w:b/>
                <w:bCs/>
              </w:rPr>
            </w:pPr>
            <w:r w:rsidRPr="005A66DF">
              <w:rPr>
                <w:b/>
                <w:bCs/>
              </w:rPr>
              <w:t>Alguns comentaris comparatius entre 2012 i 2013:</w:t>
            </w:r>
          </w:p>
        </w:tc>
        <w:tc>
          <w:tcPr>
            <w:tcW w:w="940" w:type="dxa"/>
            <w:tcBorders>
              <w:top w:val="single" w:sz="4" w:space="0" w:color="auto"/>
              <w:left w:val="nil"/>
              <w:bottom w:val="nil"/>
              <w:right w:val="nil"/>
            </w:tcBorders>
            <w:shd w:val="clear" w:color="auto" w:fill="auto"/>
            <w:noWrap/>
            <w:vAlign w:val="bottom"/>
            <w:hideMark/>
          </w:tcPr>
          <w:p w:rsidR="005A66DF" w:rsidRPr="005A66DF" w:rsidRDefault="005A66DF" w:rsidP="005A66DF">
            <w:r w:rsidRPr="005A66DF">
              <w:t> </w:t>
            </w:r>
          </w:p>
        </w:tc>
        <w:tc>
          <w:tcPr>
            <w:tcW w:w="940" w:type="dxa"/>
            <w:tcBorders>
              <w:top w:val="single" w:sz="4" w:space="0" w:color="auto"/>
              <w:left w:val="nil"/>
              <w:bottom w:val="nil"/>
              <w:right w:val="single" w:sz="4" w:space="0" w:color="auto"/>
            </w:tcBorders>
            <w:shd w:val="clear" w:color="auto" w:fill="auto"/>
            <w:noWrap/>
            <w:vAlign w:val="bottom"/>
            <w:hideMark/>
          </w:tcPr>
          <w:p w:rsidR="005A66DF" w:rsidRPr="005A66DF" w:rsidRDefault="005A66DF" w:rsidP="005A66DF">
            <w:r w:rsidRPr="005A66DF">
              <w:t> </w:t>
            </w:r>
          </w:p>
        </w:tc>
      </w:tr>
      <w:tr w:rsidR="005A66DF" w:rsidRPr="005A66DF" w:rsidTr="005A66DF">
        <w:trPr>
          <w:trHeight w:val="255"/>
        </w:trPr>
        <w:tc>
          <w:tcPr>
            <w:tcW w:w="5590" w:type="dxa"/>
            <w:gridSpan w:val="3"/>
            <w:tcBorders>
              <w:top w:val="nil"/>
              <w:left w:val="single" w:sz="4" w:space="0" w:color="auto"/>
              <w:bottom w:val="nil"/>
              <w:right w:val="nil"/>
            </w:tcBorders>
            <w:shd w:val="clear" w:color="auto" w:fill="auto"/>
            <w:noWrap/>
            <w:vAlign w:val="bottom"/>
            <w:hideMark/>
          </w:tcPr>
          <w:p w:rsidR="005A66DF" w:rsidRPr="005A66DF" w:rsidRDefault="005A66DF" w:rsidP="005A66DF">
            <w:r w:rsidRPr="005A66DF">
              <w:t>- augment del 8% nº participants i nº de respostes</w:t>
            </w:r>
          </w:p>
        </w:tc>
        <w:tc>
          <w:tcPr>
            <w:tcW w:w="940" w:type="dxa"/>
            <w:tcBorders>
              <w:top w:val="nil"/>
              <w:left w:val="nil"/>
              <w:bottom w:val="nil"/>
              <w:right w:val="nil"/>
            </w:tcBorders>
            <w:shd w:val="clear" w:color="auto" w:fill="auto"/>
            <w:noWrap/>
            <w:vAlign w:val="bottom"/>
            <w:hideMark/>
          </w:tcPr>
          <w:p w:rsidR="005A66DF" w:rsidRPr="005A66DF" w:rsidRDefault="005A66DF" w:rsidP="005A66DF"/>
        </w:tc>
        <w:tc>
          <w:tcPr>
            <w:tcW w:w="940" w:type="dxa"/>
            <w:tcBorders>
              <w:top w:val="nil"/>
              <w:left w:val="nil"/>
              <w:bottom w:val="nil"/>
              <w:right w:val="single" w:sz="4" w:space="0" w:color="auto"/>
            </w:tcBorders>
            <w:shd w:val="clear" w:color="auto" w:fill="auto"/>
            <w:noWrap/>
            <w:vAlign w:val="bottom"/>
            <w:hideMark/>
          </w:tcPr>
          <w:p w:rsidR="005A66DF" w:rsidRPr="005A66DF" w:rsidRDefault="005A66DF" w:rsidP="005A66DF">
            <w:r w:rsidRPr="005A66DF">
              <w:t> </w:t>
            </w:r>
          </w:p>
        </w:tc>
      </w:tr>
      <w:tr w:rsidR="005A66DF" w:rsidRPr="005A66DF" w:rsidTr="005A66DF">
        <w:trPr>
          <w:trHeight w:val="255"/>
        </w:trPr>
        <w:tc>
          <w:tcPr>
            <w:tcW w:w="7470" w:type="dxa"/>
            <w:gridSpan w:val="5"/>
            <w:tcBorders>
              <w:top w:val="nil"/>
              <w:left w:val="single" w:sz="4" w:space="0" w:color="auto"/>
              <w:bottom w:val="nil"/>
              <w:right w:val="single" w:sz="4" w:space="0" w:color="000000"/>
            </w:tcBorders>
            <w:shd w:val="clear" w:color="auto" w:fill="auto"/>
            <w:noWrap/>
            <w:vAlign w:val="bottom"/>
            <w:hideMark/>
          </w:tcPr>
          <w:p w:rsidR="005A66DF" w:rsidRPr="005A66DF" w:rsidRDefault="005A66DF" w:rsidP="005A66DF">
            <w:r w:rsidRPr="005A66DF">
              <w:t>- augment de persones ateses a Atenció primària, un 18% respecte al 2013</w:t>
            </w:r>
          </w:p>
        </w:tc>
      </w:tr>
      <w:tr w:rsidR="005A66DF" w:rsidRPr="005A66DF" w:rsidTr="005A66DF">
        <w:trPr>
          <w:trHeight w:val="270"/>
        </w:trPr>
        <w:tc>
          <w:tcPr>
            <w:tcW w:w="5590" w:type="dxa"/>
            <w:gridSpan w:val="3"/>
            <w:tcBorders>
              <w:top w:val="nil"/>
              <w:left w:val="single" w:sz="4" w:space="0" w:color="auto"/>
              <w:bottom w:val="nil"/>
              <w:right w:val="nil"/>
            </w:tcBorders>
            <w:shd w:val="clear" w:color="auto" w:fill="auto"/>
            <w:noWrap/>
            <w:vAlign w:val="bottom"/>
            <w:hideMark/>
          </w:tcPr>
          <w:p w:rsidR="005A66DF" w:rsidRPr="005A66DF" w:rsidRDefault="005A66DF" w:rsidP="005A66DF">
            <w:r w:rsidRPr="005A66DF">
              <w:t>- augmenten persones espanyoles, 55% al 2013 i 46% al 2012</w:t>
            </w:r>
          </w:p>
        </w:tc>
        <w:tc>
          <w:tcPr>
            <w:tcW w:w="940" w:type="dxa"/>
            <w:tcBorders>
              <w:top w:val="nil"/>
              <w:left w:val="nil"/>
              <w:bottom w:val="nil"/>
              <w:right w:val="nil"/>
            </w:tcBorders>
            <w:shd w:val="clear" w:color="auto" w:fill="auto"/>
            <w:noWrap/>
            <w:vAlign w:val="bottom"/>
            <w:hideMark/>
          </w:tcPr>
          <w:p w:rsidR="005A66DF" w:rsidRPr="005A66DF" w:rsidRDefault="005A66DF" w:rsidP="005A66DF"/>
        </w:tc>
        <w:tc>
          <w:tcPr>
            <w:tcW w:w="940" w:type="dxa"/>
            <w:tcBorders>
              <w:top w:val="nil"/>
              <w:left w:val="nil"/>
              <w:bottom w:val="nil"/>
              <w:right w:val="single" w:sz="4" w:space="0" w:color="auto"/>
            </w:tcBorders>
            <w:shd w:val="clear" w:color="auto" w:fill="auto"/>
            <w:noWrap/>
            <w:vAlign w:val="bottom"/>
            <w:hideMark/>
          </w:tcPr>
          <w:p w:rsidR="005A66DF" w:rsidRPr="005A66DF" w:rsidRDefault="005A66DF" w:rsidP="005A66DF">
            <w:r w:rsidRPr="005A66DF">
              <w:t> </w:t>
            </w:r>
          </w:p>
        </w:tc>
      </w:tr>
      <w:tr w:rsidR="005A66DF" w:rsidRPr="005A66DF" w:rsidTr="005A66DF">
        <w:trPr>
          <w:trHeight w:val="270"/>
        </w:trPr>
        <w:tc>
          <w:tcPr>
            <w:tcW w:w="6530" w:type="dxa"/>
            <w:gridSpan w:val="4"/>
            <w:tcBorders>
              <w:top w:val="nil"/>
              <w:left w:val="single" w:sz="4" w:space="0" w:color="auto"/>
              <w:bottom w:val="nil"/>
              <w:right w:val="nil"/>
            </w:tcBorders>
            <w:shd w:val="clear" w:color="auto" w:fill="auto"/>
            <w:noWrap/>
            <w:vAlign w:val="bottom"/>
            <w:hideMark/>
          </w:tcPr>
          <w:p w:rsidR="005A66DF" w:rsidRPr="005A66DF" w:rsidRDefault="005A66DF" w:rsidP="005A66DF">
            <w:r w:rsidRPr="005A66DF">
              <w:t>- redueixen persones extracomunitàries, 38% al 2013 i 45% al 2012</w:t>
            </w:r>
          </w:p>
        </w:tc>
        <w:tc>
          <w:tcPr>
            <w:tcW w:w="940" w:type="dxa"/>
            <w:tcBorders>
              <w:top w:val="nil"/>
              <w:left w:val="nil"/>
              <w:bottom w:val="nil"/>
              <w:right w:val="single" w:sz="4" w:space="0" w:color="auto"/>
            </w:tcBorders>
            <w:shd w:val="clear" w:color="auto" w:fill="auto"/>
            <w:noWrap/>
            <w:vAlign w:val="bottom"/>
            <w:hideMark/>
          </w:tcPr>
          <w:p w:rsidR="005A66DF" w:rsidRPr="005A66DF" w:rsidRDefault="005A66DF" w:rsidP="005A66DF">
            <w:r w:rsidRPr="005A66DF">
              <w:t> </w:t>
            </w:r>
          </w:p>
        </w:tc>
      </w:tr>
      <w:tr w:rsidR="005A66DF" w:rsidRPr="005A66DF" w:rsidTr="005A66DF">
        <w:trPr>
          <w:trHeight w:val="255"/>
        </w:trPr>
        <w:tc>
          <w:tcPr>
            <w:tcW w:w="5590" w:type="dxa"/>
            <w:gridSpan w:val="3"/>
            <w:tcBorders>
              <w:top w:val="nil"/>
              <w:left w:val="single" w:sz="4" w:space="0" w:color="auto"/>
              <w:bottom w:val="nil"/>
              <w:right w:val="nil"/>
            </w:tcBorders>
            <w:shd w:val="clear" w:color="auto" w:fill="auto"/>
            <w:noWrap/>
            <w:vAlign w:val="bottom"/>
            <w:hideMark/>
          </w:tcPr>
          <w:p w:rsidR="005A66DF" w:rsidRPr="005A66DF" w:rsidRDefault="005A66DF" w:rsidP="005A66DF">
            <w:r w:rsidRPr="005A66DF">
              <w:t>- augmenten persones d'Europa, 53% al 2013 i 46% al 2012</w:t>
            </w:r>
          </w:p>
        </w:tc>
        <w:tc>
          <w:tcPr>
            <w:tcW w:w="940" w:type="dxa"/>
            <w:tcBorders>
              <w:top w:val="nil"/>
              <w:left w:val="nil"/>
              <w:bottom w:val="nil"/>
              <w:right w:val="nil"/>
            </w:tcBorders>
            <w:shd w:val="clear" w:color="auto" w:fill="auto"/>
            <w:noWrap/>
            <w:vAlign w:val="bottom"/>
            <w:hideMark/>
          </w:tcPr>
          <w:p w:rsidR="005A66DF" w:rsidRPr="005A66DF" w:rsidRDefault="005A66DF" w:rsidP="005A66DF"/>
        </w:tc>
        <w:tc>
          <w:tcPr>
            <w:tcW w:w="940" w:type="dxa"/>
            <w:tcBorders>
              <w:top w:val="nil"/>
              <w:left w:val="nil"/>
              <w:bottom w:val="nil"/>
              <w:right w:val="single" w:sz="4" w:space="0" w:color="auto"/>
            </w:tcBorders>
            <w:shd w:val="clear" w:color="auto" w:fill="auto"/>
            <w:noWrap/>
            <w:vAlign w:val="bottom"/>
            <w:hideMark/>
          </w:tcPr>
          <w:p w:rsidR="005A66DF" w:rsidRPr="005A66DF" w:rsidRDefault="005A66DF" w:rsidP="005A66DF">
            <w:r w:rsidRPr="005A66DF">
              <w:t> </w:t>
            </w:r>
          </w:p>
        </w:tc>
      </w:tr>
      <w:tr w:rsidR="005A66DF" w:rsidRPr="005A66DF" w:rsidTr="005A66DF">
        <w:trPr>
          <w:trHeight w:val="255"/>
        </w:trPr>
        <w:tc>
          <w:tcPr>
            <w:tcW w:w="6530" w:type="dxa"/>
            <w:gridSpan w:val="4"/>
            <w:tcBorders>
              <w:top w:val="nil"/>
              <w:left w:val="single" w:sz="4" w:space="0" w:color="auto"/>
              <w:bottom w:val="nil"/>
              <w:right w:val="nil"/>
            </w:tcBorders>
            <w:shd w:val="clear" w:color="auto" w:fill="auto"/>
            <w:noWrap/>
            <w:vAlign w:val="bottom"/>
            <w:hideMark/>
          </w:tcPr>
          <w:p w:rsidR="005A66DF" w:rsidRPr="005A66DF" w:rsidRDefault="005A66DF" w:rsidP="005A66DF">
            <w:r w:rsidRPr="005A66DF">
              <w:t>- redueixen persones llatinoamericanes, 25% al 2013 i 32% al 2012</w:t>
            </w:r>
          </w:p>
        </w:tc>
        <w:tc>
          <w:tcPr>
            <w:tcW w:w="940" w:type="dxa"/>
            <w:tcBorders>
              <w:top w:val="nil"/>
              <w:left w:val="nil"/>
              <w:bottom w:val="nil"/>
              <w:right w:val="single" w:sz="4" w:space="0" w:color="auto"/>
            </w:tcBorders>
            <w:shd w:val="clear" w:color="auto" w:fill="auto"/>
            <w:noWrap/>
            <w:vAlign w:val="bottom"/>
            <w:hideMark/>
          </w:tcPr>
          <w:p w:rsidR="005A66DF" w:rsidRPr="005A66DF" w:rsidRDefault="005A66DF" w:rsidP="005A66DF">
            <w:r w:rsidRPr="005A66DF">
              <w:t> </w:t>
            </w:r>
          </w:p>
        </w:tc>
      </w:tr>
      <w:tr w:rsidR="005A66DF" w:rsidRPr="005A66DF" w:rsidTr="005A66DF">
        <w:trPr>
          <w:trHeight w:val="255"/>
        </w:trPr>
        <w:tc>
          <w:tcPr>
            <w:tcW w:w="6530" w:type="dxa"/>
            <w:gridSpan w:val="4"/>
            <w:tcBorders>
              <w:top w:val="nil"/>
              <w:left w:val="single" w:sz="4" w:space="0" w:color="auto"/>
              <w:bottom w:val="nil"/>
              <w:right w:val="nil"/>
            </w:tcBorders>
            <w:shd w:val="clear" w:color="auto" w:fill="auto"/>
            <w:noWrap/>
            <w:vAlign w:val="bottom"/>
            <w:hideMark/>
          </w:tcPr>
          <w:p w:rsidR="005A66DF" w:rsidRPr="005A66DF" w:rsidRDefault="005A66DF" w:rsidP="005A66DF">
            <w:r w:rsidRPr="005A66DF">
              <w:t xml:space="preserve">- </w:t>
            </w:r>
            <w:proofErr w:type="spellStart"/>
            <w:r w:rsidRPr="005A66DF">
              <w:t>matenen</w:t>
            </w:r>
            <w:proofErr w:type="spellEnd"/>
            <w:r w:rsidRPr="005A66DF">
              <w:t xml:space="preserve"> percentatge persones àrabs, 18% al 2013 i 17% al 2012</w:t>
            </w:r>
          </w:p>
        </w:tc>
        <w:tc>
          <w:tcPr>
            <w:tcW w:w="940" w:type="dxa"/>
            <w:tcBorders>
              <w:top w:val="nil"/>
              <w:left w:val="nil"/>
              <w:bottom w:val="nil"/>
              <w:right w:val="single" w:sz="4" w:space="0" w:color="auto"/>
            </w:tcBorders>
            <w:shd w:val="clear" w:color="auto" w:fill="auto"/>
            <w:noWrap/>
            <w:vAlign w:val="bottom"/>
            <w:hideMark/>
          </w:tcPr>
          <w:p w:rsidR="005A66DF" w:rsidRPr="005A66DF" w:rsidRDefault="005A66DF" w:rsidP="005A66DF">
            <w:r w:rsidRPr="005A66DF">
              <w:t> </w:t>
            </w:r>
          </w:p>
        </w:tc>
      </w:tr>
      <w:tr w:rsidR="005A66DF" w:rsidRPr="005A66DF" w:rsidTr="005A66DF">
        <w:trPr>
          <w:trHeight w:val="255"/>
        </w:trPr>
        <w:tc>
          <w:tcPr>
            <w:tcW w:w="1864" w:type="dxa"/>
            <w:tcBorders>
              <w:top w:val="nil"/>
              <w:left w:val="single" w:sz="4" w:space="0" w:color="auto"/>
              <w:bottom w:val="nil"/>
              <w:right w:val="nil"/>
            </w:tcBorders>
            <w:shd w:val="clear" w:color="auto" w:fill="auto"/>
            <w:noWrap/>
            <w:vAlign w:val="bottom"/>
            <w:hideMark/>
          </w:tcPr>
          <w:p w:rsidR="005A66DF" w:rsidRPr="005A66DF" w:rsidRDefault="005A66DF" w:rsidP="005A66DF">
            <w:r w:rsidRPr="005A66DF">
              <w:t> </w:t>
            </w:r>
          </w:p>
        </w:tc>
        <w:tc>
          <w:tcPr>
            <w:tcW w:w="1863" w:type="dxa"/>
            <w:tcBorders>
              <w:top w:val="nil"/>
              <w:left w:val="nil"/>
              <w:bottom w:val="nil"/>
              <w:right w:val="nil"/>
            </w:tcBorders>
            <w:shd w:val="clear" w:color="auto" w:fill="auto"/>
            <w:noWrap/>
            <w:vAlign w:val="bottom"/>
            <w:hideMark/>
          </w:tcPr>
          <w:p w:rsidR="005A66DF" w:rsidRPr="005A66DF" w:rsidRDefault="005A66DF" w:rsidP="005A66DF"/>
        </w:tc>
        <w:tc>
          <w:tcPr>
            <w:tcW w:w="1863" w:type="dxa"/>
            <w:tcBorders>
              <w:top w:val="nil"/>
              <w:left w:val="nil"/>
              <w:bottom w:val="nil"/>
              <w:right w:val="nil"/>
            </w:tcBorders>
            <w:shd w:val="clear" w:color="auto" w:fill="auto"/>
            <w:noWrap/>
            <w:vAlign w:val="bottom"/>
            <w:hideMark/>
          </w:tcPr>
          <w:p w:rsidR="005A66DF" w:rsidRPr="005A66DF" w:rsidRDefault="005A66DF" w:rsidP="005A66DF"/>
        </w:tc>
        <w:tc>
          <w:tcPr>
            <w:tcW w:w="940" w:type="dxa"/>
            <w:tcBorders>
              <w:top w:val="nil"/>
              <w:left w:val="nil"/>
              <w:bottom w:val="nil"/>
              <w:right w:val="nil"/>
            </w:tcBorders>
            <w:shd w:val="clear" w:color="auto" w:fill="auto"/>
            <w:noWrap/>
            <w:vAlign w:val="bottom"/>
            <w:hideMark/>
          </w:tcPr>
          <w:p w:rsidR="005A66DF" w:rsidRPr="005A66DF" w:rsidRDefault="005A66DF" w:rsidP="005A66DF"/>
        </w:tc>
        <w:tc>
          <w:tcPr>
            <w:tcW w:w="940" w:type="dxa"/>
            <w:tcBorders>
              <w:top w:val="nil"/>
              <w:left w:val="nil"/>
              <w:bottom w:val="nil"/>
              <w:right w:val="single" w:sz="4" w:space="0" w:color="auto"/>
            </w:tcBorders>
            <w:shd w:val="clear" w:color="auto" w:fill="auto"/>
            <w:noWrap/>
            <w:vAlign w:val="bottom"/>
            <w:hideMark/>
          </w:tcPr>
          <w:p w:rsidR="005A66DF" w:rsidRPr="005A66DF" w:rsidRDefault="005A66DF" w:rsidP="005A66DF">
            <w:r w:rsidRPr="005A66DF">
              <w:t> </w:t>
            </w:r>
          </w:p>
        </w:tc>
      </w:tr>
      <w:tr w:rsidR="005A66DF" w:rsidRPr="005A66DF" w:rsidTr="005A66DF">
        <w:trPr>
          <w:trHeight w:val="255"/>
        </w:trPr>
        <w:tc>
          <w:tcPr>
            <w:tcW w:w="1864" w:type="dxa"/>
            <w:tcBorders>
              <w:top w:val="nil"/>
              <w:left w:val="single" w:sz="4" w:space="0" w:color="auto"/>
              <w:bottom w:val="single" w:sz="4" w:space="0" w:color="auto"/>
              <w:right w:val="nil"/>
            </w:tcBorders>
            <w:shd w:val="clear" w:color="auto" w:fill="auto"/>
            <w:noWrap/>
            <w:vAlign w:val="bottom"/>
            <w:hideMark/>
          </w:tcPr>
          <w:p w:rsidR="005A66DF" w:rsidRPr="005A66DF" w:rsidRDefault="005A66DF" w:rsidP="005A66DF">
            <w:r w:rsidRPr="005A66DF">
              <w:t> </w:t>
            </w:r>
          </w:p>
        </w:tc>
        <w:tc>
          <w:tcPr>
            <w:tcW w:w="1863" w:type="dxa"/>
            <w:tcBorders>
              <w:top w:val="nil"/>
              <w:left w:val="nil"/>
              <w:bottom w:val="single" w:sz="4" w:space="0" w:color="auto"/>
              <w:right w:val="nil"/>
            </w:tcBorders>
            <w:shd w:val="clear" w:color="auto" w:fill="auto"/>
            <w:noWrap/>
            <w:vAlign w:val="bottom"/>
            <w:hideMark/>
          </w:tcPr>
          <w:p w:rsidR="005A66DF" w:rsidRPr="005A66DF" w:rsidRDefault="005A66DF" w:rsidP="005A66DF">
            <w:r w:rsidRPr="005A66DF">
              <w:t> </w:t>
            </w:r>
          </w:p>
        </w:tc>
        <w:tc>
          <w:tcPr>
            <w:tcW w:w="1863" w:type="dxa"/>
            <w:tcBorders>
              <w:top w:val="nil"/>
              <w:left w:val="nil"/>
              <w:bottom w:val="single" w:sz="4" w:space="0" w:color="auto"/>
              <w:right w:val="nil"/>
            </w:tcBorders>
            <w:shd w:val="clear" w:color="auto" w:fill="auto"/>
            <w:noWrap/>
            <w:vAlign w:val="bottom"/>
            <w:hideMark/>
          </w:tcPr>
          <w:p w:rsidR="005A66DF" w:rsidRPr="005A66DF" w:rsidRDefault="005A66DF" w:rsidP="005A66DF">
            <w:r w:rsidRPr="005A66DF">
              <w:t> </w:t>
            </w:r>
          </w:p>
        </w:tc>
        <w:tc>
          <w:tcPr>
            <w:tcW w:w="940" w:type="dxa"/>
            <w:tcBorders>
              <w:top w:val="nil"/>
              <w:left w:val="nil"/>
              <w:bottom w:val="single" w:sz="4" w:space="0" w:color="auto"/>
              <w:right w:val="nil"/>
            </w:tcBorders>
            <w:shd w:val="clear" w:color="auto" w:fill="auto"/>
            <w:noWrap/>
            <w:vAlign w:val="bottom"/>
            <w:hideMark/>
          </w:tcPr>
          <w:p w:rsidR="005A66DF" w:rsidRPr="005A66DF" w:rsidRDefault="005A66DF" w:rsidP="005A66DF">
            <w:r w:rsidRPr="005A66DF">
              <w:t> </w:t>
            </w:r>
          </w:p>
        </w:tc>
        <w:tc>
          <w:tcPr>
            <w:tcW w:w="940" w:type="dxa"/>
            <w:tcBorders>
              <w:top w:val="nil"/>
              <w:left w:val="nil"/>
              <w:bottom w:val="single" w:sz="4" w:space="0" w:color="auto"/>
              <w:right w:val="single" w:sz="4" w:space="0" w:color="auto"/>
            </w:tcBorders>
            <w:shd w:val="clear" w:color="auto" w:fill="auto"/>
            <w:noWrap/>
            <w:vAlign w:val="bottom"/>
            <w:hideMark/>
          </w:tcPr>
          <w:p w:rsidR="005A66DF" w:rsidRPr="005A66DF" w:rsidRDefault="005A66DF" w:rsidP="005A66DF">
            <w:r w:rsidRPr="005A66DF">
              <w:t> </w:t>
            </w:r>
          </w:p>
        </w:tc>
      </w:tr>
    </w:tbl>
    <w:p w:rsidR="00FA68E9" w:rsidRDefault="005A66DF">
      <w:r>
        <w:t xml:space="preserve"> Aquesta és la realitat de Maó </w:t>
      </w:r>
      <w:proofErr w:type="spellStart"/>
      <w:r>
        <w:t>Sra</w:t>
      </w:r>
      <w:proofErr w:type="spellEnd"/>
      <w:r>
        <w:t xml:space="preserve"> Batlessa</w:t>
      </w:r>
      <w:r w:rsidR="00FA68E9">
        <w:t>, aquesta i no cap altra. No se si no són conscients o si ho són miren cap a una altra banda.</w:t>
      </w:r>
    </w:p>
    <w:p w:rsidR="00503B7F" w:rsidRDefault="00FA68E9">
      <w:r>
        <w:t>I</w:t>
      </w:r>
      <w:r w:rsidR="005A66DF">
        <w:t xml:space="preserve"> vostès encara em diuen que mantenen les partides socials, cosa que no és certa. Però és que encara que ho fos seria denunciable amb aquest increment de necessitats fruit de la situació econòmica CERT. Però fruit també de les retallades i de les polítiques que el PP està duent a terme a tots el </w:t>
      </w:r>
      <w:proofErr w:type="spellStart"/>
      <w:r w:rsidR="005A66DF">
        <w:t>snivells</w:t>
      </w:r>
      <w:proofErr w:type="spellEnd"/>
      <w:r w:rsidR="005A66DF">
        <w:t>, disminuint dependència, endurint les condicions per RMI. Eliminat subsidis a majors de 55 anys que han esgotat atur, fent pagar per sanitat, reduint beques....</w:t>
      </w:r>
    </w:p>
    <w:p w:rsidR="00FA68E9" w:rsidRDefault="00FA68E9">
      <w:r>
        <w:t xml:space="preserve">I clar després intenten explicar que davant aquestes necessitats socials segueix essent bo gastar en comprar betlems, en concerts inicialment pagats per privats entre d’altres coses com </w:t>
      </w:r>
      <w:r>
        <w:lastRenderedPageBreak/>
        <w:t>ara pagar a 3 persones a l’àrea de comerç per gestionar 4 vegades manco de pressupost que el que suposa de pagament de personal.</w:t>
      </w:r>
    </w:p>
    <w:p w:rsidR="00950FD6" w:rsidRDefault="00FA68E9">
      <w:r>
        <w:t xml:space="preserve">En definitiva </w:t>
      </w:r>
      <w:r w:rsidR="00950FD6">
        <w:t>Reben manco assistència social, reben manco formació, manco activitats de les entitats a l’haver-li reduït el suport municipal.</w:t>
      </w:r>
    </w:p>
    <w:p w:rsidR="00950FD6" w:rsidRDefault="00950FD6">
      <w:r>
        <w:t>I tot per</w:t>
      </w:r>
      <w:r w:rsidR="00503B7F">
        <w:t xml:space="preserve"> </w:t>
      </w:r>
      <w:r>
        <w:t>què</w:t>
      </w:r>
      <w:r w:rsidR="00503B7F">
        <w:t>?</w:t>
      </w:r>
      <w:r>
        <w:t>, vostès diran que per reduir un deute municipal i reduir el dèficit, molt en òrb</w:t>
      </w:r>
      <w:r w:rsidR="00503B7F">
        <w:t>i</w:t>
      </w:r>
      <w:r>
        <w:t>ta nacional.</w:t>
      </w:r>
      <w:r w:rsidR="005A66DF">
        <w:t xml:space="preserve"> </w:t>
      </w:r>
    </w:p>
    <w:p w:rsidR="005A66DF" w:rsidRDefault="005A66DF">
      <w:r>
        <w:t xml:space="preserve">Un deute que vostès tenen en aquests moments en un 79.86% tal i com diu </w:t>
      </w:r>
      <w:proofErr w:type="spellStart"/>
      <w:r>
        <w:t>l’intevrentor</w:t>
      </w:r>
      <w:proofErr w:type="spellEnd"/>
      <w:r>
        <w:t xml:space="preserve"> en l’informe d </w:t>
      </w:r>
      <w:proofErr w:type="spellStart"/>
      <w:r>
        <w:t>eliquidació</w:t>
      </w:r>
      <w:proofErr w:type="spellEnd"/>
      <w:r>
        <w:t xml:space="preserve"> en data 5/04/2013. Fa poc més de 2 mesos. Quasi un 80%!!! Digui vostè en quin % van trobar l’endeutament??? Ho digui? Si no ho sap li puc dir jo</w:t>
      </w:r>
      <w:r w:rsidR="00FA6FDB">
        <w:t>. No arribava al 70%.</w:t>
      </w:r>
    </w:p>
    <w:p w:rsidR="00FA6FDB" w:rsidRDefault="00FA6FDB">
      <w:r>
        <w:t xml:space="preserve">Per tant ha passat com per tot, tot és explicable per </w:t>
      </w:r>
      <w:proofErr w:type="spellStart"/>
      <w:r>
        <w:t>rduir</w:t>
      </w:r>
      <w:proofErr w:type="spellEnd"/>
      <w:r>
        <w:t xml:space="preserve"> l’endeutament i, en canvi, per TOT ha augmentat.</w:t>
      </w:r>
    </w:p>
    <w:p w:rsidR="00FA6FDB" w:rsidRDefault="00FA6FDB">
      <w:r>
        <w:t>Vostès seguiran maquillant les dades, aquesta tasca de maquillatge l’intenten sovint. Ara la gent ja veu però que rere la capa de maquillatge s’hi amaga accions ideològiques molt pensades tot i que gens explicades durant campanya.</w:t>
      </w:r>
    </w:p>
    <w:p w:rsidR="00FA6FDB" w:rsidRDefault="00FA6FDB">
      <w:r>
        <w:t>És el mateix que les dades de pagaments... curiós com en una entrevista de comiat com la que li van fer a l’anterior director de l’àrea econòmica Sr Yebra i que vostè repeteix com una cançoneta diu que ja paguen a 60 dies.</w:t>
      </w:r>
    </w:p>
    <w:p w:rsidR="00FA6FDB" w:rsidRDefault="00FA6FDB">
      <w:r>
        <w:t xml:space="preserve">Increïble quan les mateixes setmanes l’interventor municipal en informe de seguiment del pla d’ajust remès al Sr Montoro i que vostè </w:t>
      </w:r>
      <w:proofErr w:type="spellStart"/>
      <w:r>
        <w:t>bonemnt</w:t>
      </w:r>
      <w:proofErr w:type="spellEnd"/>
      <w:r>
        <w:t xml:space="preserve"> signava declarava que el període mitjà de pagament a proveïdors  és de 139 dies!!!!!</w:t>
      </w:r>
    </w:p>
    <w:p w:rsidR="00123992" w:rsidRDefault="00950FD6">
      <w:r>
        <w:t xml:space="preserve">Però és que no només fan pagar més per rebre manco sinó que la situació a dia d’avui d’allò que preocupa més a la gent està pitjor. </w:t>
      </w:r>
    </w:p>
    <w:p w:rsidR="00123992" w:rsidRDefault="00123992">
      <w:r>
        <w:t>Sap quan aturats hi ha avui a Maó? Li demano? No em fa res perdre 10 segons del meu temps. Digui, quants?</w:t>
      </w:r>
    </w:p>
    <w:p w:rsidR="00123992" w:rsidRDefault="00123992">
      <w:r>
        <w:t xml:space="preserve">A lo millor vostè sap </w:t>
      </w:r>
      <w:proofErr w:type="spellStart"/>
      <w:r>
        <w:t>fisn</w:t>
      </w:r>
      <w:proofErr w:type="spellEnd"/>
      <w:r>
        <w:t xml:space="preserve"> i tot els de juny que encara per municipis no es sap.</w:t>
      </w:r>
    </w:p>
    <w:tbl>
      <w:tblPr>
        <w:tblW w:w="7080" w:type="dxa"/>
        <w:tblInd w:w="55" w:type="dxa"/>
        <w:tblCellMar>
          <w:left w:w="70" w:type="dxa"/>
          <w:right w:w="70" w:type="dxa"/>
        </w:tblCellMar>
        <w:tblLook w:val="04A0" w:firstRow="1" w:lastRow="0" w:firstColumn="1" w:lastColumn="0" w:noHBand="0" w:noVBand="1"/>
      </w:tblPr>
      <w:tblGrid>
        <w:gridCol w:w="2280"/>
        <w:gridCol w:w="1200"/>
        <w:gridCol w:w="1200"/>
        <w:gridCol w:w="1200"/>
        <w:gridCol w:w="1200"/>
      </w:tblGrid>
      <w:tr w:rsidR="00D36AC4" w:rsidRPr="00D36AC4" w:rsidTr="00D36AC4">
        <w:trPr>
          <w:trHeight w:val="300"/>
        </w:trPr>
        <w:tc>
          <w:tcPr>
            <w:tcW w:w="228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rPr>
                <w:rFonts w:ascii="Calibri" w:eastAsia="Times New Roman" w:hAnsi="Calibri" w:cs="Times New Roman"/>
                <w:b/>
                <w:bCs/>
                <w:color w:val="000000"/>
                <w:lang w:eastAsia="ca-ES"/>
              </w:rPr>
            </w:pP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maig 2013</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maig 2011</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diferència</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w:t>
            </w:r>
          </w:p>
        </w:tc>
      </w:tr>
      <w:tr w:rsidR="00D36AC4" w:rsidRPr="00D36AC4" w:rsidTr="00D36AC4">
        <w:trPr>
          <w:trHeight w:val="300"/>
        </w:trPr>
        <w:tc>
          <w:tcPr>
            <w:tcW w:w="228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Població</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28972</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29.050</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-78</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-0,26</w:t>
            </w:r>
          </w:p>
        </w:tc>
      </w:tr>
      <w:tr w:rsidR="00D36AC4" w:rsidRPr="00D36AC4" w:rsidTr="00D36AC4">
        <w:trPr>
          <w:trHeight w:val="300"/>
        </w:trPr>
        <w:tc>
          <w:tcPr>
            <w:tcW w:w="228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Cotització</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1.298</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1.335</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-37</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-2,77</w:t>
            </w:r>
          </w:p>
        </w:tc>
      </w:tr>
      <w:tr w:rsidR="00D36AC4" w:rsidRPr="00D36AC4" w:rsidTr="00D36AC4">
        <w:trPr>
          <w:trHeight w:val="300"/>
        </w:trPr>
        <w:tc>
          <w:tcPr>
            <w:tcW w:w="228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Afiliats SS</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10.820</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11.513</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-693</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-6,01</w:t>
            </w:r>
          </w:p>
        </w:tc>
      </w:tr>
      <w:tr w:rsidR="00D36AC4" w:rsidRPr="00D36AC4" w:rsidTr="00D36AC4">
        <w:trPr>
          <w:trHeight w:val="300"/>
        </w:trPr>
        <w:tc>
          <w:tcPr>
            <w:tcW w:w="228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Autònoms</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2.003</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2.034</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-31</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-1,52</w:t>
            </w:r>
          </w:p>
        </w:tc>
      </w:tr>
      <w:tr w:rsidR="00D36AC4" w:rsidRPr="00D36AC4" w:rsidTr="00D36AC4">
        <w:trPr>
          <w:trHeight w:val="300"/>
        </w:trPr>
        <w:tc>
          <w:tcPr>
            <w:tcW w:w="228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Atur</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2314</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2.204</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110</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4,99</w:t>
            </w:r>
          </w:p>
        </w:tc>
      </w:tr>
      <w:tr w:rsidR="00D36AC4" w:rsidRPr="00D36AC4" w:rsidTr="00D36AC4">
        <w:trPr>
          <w:trHeight w:val="300"/>
        </w:trPr>
        <w:tc>
          <w:tcPr>
            <w:tcW w:w="228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Demandat</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3.248</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3.143</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105</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3,34</w:t>
            </w:r>
          </w:p>
        </w:tc>
      </w:tr>
      <w:tr w:rsidR="00D36AC4" w:rsidRPr="00D36AC4" w:rsidTr="00D36AC4">
        <w:trPr>
          <w:trHeight w:val="300"/>
        </w:trPr>
        <w:tc>
          <w:tcPr>
            <w:tcW w:w="228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aturats sense prestació</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1737</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b/>
                <w:bCs/>
                <w:color w:val="000000"/>
                <w:lang w:eastAsia="ca-ES"/>
              </w:rPr>
            </w:pPr>
            <w:r w:rsidRPr="00D36AC4">
              <w:rPr>
                <w:rFonts w:ascii="Calibri" w:eastAsia="Times New Roman" w:hAnsi="Calibri" w:cs="Times New Roman"/>
                <w:b/>
                <w:bCs/>
                <w:color w:val="000000"/>
                <w:lang w:eastAsia="ca-ES"/>
              </w:rPr>
              <w:t>1.599</w:t>
            </w:r>
          </w:p>
        </w:tc>
        <w:tc>
          <w:tcPr>
            <w:tcW w:w="1200" w:type="dxa"/>
            <w:tcBorders>
              <w:top w:val="nil"/>
              <w:left w:val="nil"/>
              <w:bottom w:val="nil"/>
              <w:right w:val="nil"/>
            </w:tcBorders>
            <w:shd w:val="clear" w:color="auto" w:fill="auto"/>
            <w:noWrap/>
            <w:vAlign w:val="bottom"/>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138</w:t>
            </w:r>
          </w:p>
        </w:tc>
        <w:tc>
          <w:tcPr>
            <w:tcW w:w="1200" w:type="dxa"/>
            <w:tcBorders>
              <w:top w:val="nil"/>
              <w:left w:val="nil"/>
              <w:bottom w:val="nil"/>
              <w:right w:val="nil"/>
            </w:tcBorders>
            <w:shd w:val="clear" w:color="auto" w:fill="auto"/>
            <w:noWrap/>
            <w:vAlign w:val="center"/>
            <w:hideMark/>
          </w:tcPr>
          <w:p w:rsidR="00D36AC4" w:rsidRPr="00D36AC4" w:rsidRDefault="00D36AC4" w:rsidP="00D36AC4">
            <w:pPr>
              <w:spacing w:after="0" w:line="240" w:lineRule="auto"/>
              <w:jc w:val="right"/>
              <w:rPr>
                <w:rFonts w:ascii="Calibri" w:eastAsia="Times New Roman" w:hAnsi="Calibri" w:cs="Times New Roman"/>
                <w:color w:val="000000"/>
                <w:lang w:eastAsia="ca-ES"/>
              </w:rPr>
            </w:pPr>
            <w:r w:rsidRPr="00D36AC4">
              <w:rPr>
                <w:rFonts w:ascii="Calibri" w:eastAsia="Times New Roman" w:hAnsi="Calibri" w:cs="Times New Roman"/>
                <w:color w:val="000000"/>
                <w:lang w:eastAsia="ca-ES"/>
              </w:rPr>
              <w:t>8,67</w:t>
            </w:r>
          </w:p>
        </w:tc>
      </w:tr>
    </w:tbl>
    <w:p w:rsidR="0060674D" w:rsidRDefault="0060674D"/>
    <w:p w:rsidR="0060674D" w:rsidRDefault="00990138">
      <w:r>
        <w:rPr>
          <w:noProof/>
          <w:lang w:eastAsia="ca-ES"/>
        </w:rPr>
        <w:lastRenderedPageBreak/>
        <w:drawing>
          <wp:inline distT="0" distB="0" distL="0" distR="0" wp14:anchorId="26FE6527" wp14:editId="7C0309E7">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90138" w:rsidRDefault="00990138"/>
    <w:p w:rsidR="00990138" w:rsidRDefault="00990138">
      <w:r>
        <w:rPr>
          <w:noProof/>
          <w:lang w:eastAsia="ca-ES"/>
        </w:rPr>
        <w:drawing>
          <wp:inline distT="0" distB="0" distL="0" distR="0" wp14:anchorId="29400A36" wp14:editId="2A302EF5">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3A47" w:rsidRDefault="003C3A47"/>
    <w:p w:rsidR="003C3A47" w:rsidRDefault="003C3A47">
      <w:r>
        <w:t>No només ha augmentat en un 5 % l’atur sinó que s’han destruït prop de 700 llocs de feina. Aquesta és la realitat.</w:t>
      </w:r>
    </w:p>
    <w:p w:rsidR="00950FD6" w:rsidRDefault="00950FD6">
      <w:r>
        <w:t>Vostè em dirà com ajuntament no podem fer res, cosa que no és certa però, en qualsevol cas, no ho sabien el 2011 i seguien prometent creació de llocs de feina? Enganaven abans o enganen ara, o les dues.</w:t>
      </w:r>
    </w:p>
    <w:p w:rsidR="00D23836" w:rsidRDefault="00D23836">
      <w:r>
        <w:t xml:space="preserve">Sap que és el pitjor </w:t>
      </w:r>
      <w:proofErr w:type="spellStart"/>
      <w:r>
        <w:t>sra</w:t>
      </w:r>
      <w:proofErr w:type="spellEnd"/>
      <w:r>
        <w:t xml:space="preserve"> batlessa que no només fan pagar més per rebre manco, no només </w:t>
      </w:r>
      <w:r w:rsidR="00E76BFF">
        <w:t>no h</w:t>
      </w:r>
      <w:r w:rsidR="00990138">
        <w:t>an pres cap mesura nova per reac</w:t>
      </w:r>
      <w:r w:rsidR="00E76BFF">
        <w:t>tivar l’economia local sinó que endemés hem viscut 2 anys de permanents conflictes dins la Ciutat.  Conflictes provocats per les seves decisi</w:t>
      </w:r>
      <w:r w:rsidR="005C1946">
        <w:t>ons, conflictes que han enfronta</w:t>
      </w:r>
      <w:r w:rsidR="00E76BFF">
        <w:t>t a maonesos i maoneses. Conflictes que han sorgit no només per les decisions sinó sobretot per la forma de ser preses aquestes decisions.</w:t>
      </w:r>
    </w:p>
    <w:p w:rsidR="000A1A65" w:rsidRDefault="000A1A65">
      <w:r>
        <w:lastRenderedPageBreak/>
        <w:t xml:space="preserve">Vostè ha estat la batlessa dels conflictes. És bo que el repassem: en festes de gràcia, el primer any, pocs mesos després d’arribar i va ser apoteòsic. </w:t>
      </w:r>
    </w:p>
    <w:p w:rsidR="000A1A65" w:rsidRDefault="000A1A65">
      <w:r>
        <w:t xml:space="preserve">En circulació, vesins de tanques del </w:t>
      </w:r>
      <w:proofErr w:type="spellStart"/>
      <w:r>
        <w:t>carme</w:t>
      </w:r>
      <w:proofErr w:type="spellEnd"/>
      <w:r>
        <w:t xml:space="preserve">, sant </w:t>
      </w:r>
      <w:proofErr w:type="spellStart"/>
      <w:r>
        <w:t>josep</w:t>
      </w:r>
      <w:proofErr w:type="spellEnd"/>
      <w:r>
        <w:t xml:space="preserve">, camí des castell, </w:t>
      </w:r>
      <w:proofErr w:type="spellStart"/>
      <w:r>
        <w:t>andrea</w:t>
      </w:r>
      <w:proofErr w:type="spellEnd"/>
      <w:r>
        <w:t xml:space="preserve"> </w:t>
      </w:r>
      <w:proofErr w:type="spellStart"/>
      <w:r>
        <w:t>doria</w:t>
      </w:r>
      <w:proofErr w:type="spellEnd"/>
      <w:r>
        <w:t xml:space="preserve">, sant </w:t>
      </w:r>
      <w:proofErr w:type="spellStart"/>
      <w:r>
        <w:t>manuel</w:t>
      </w:r>
      <w:proofErr w:type="spellEnd"/>
      <w:r>
        <w:t xml:space="preserve">, fort de </w:t>
      </w:r>
      <w:proofErr w:type="spellStart"/>
      <w:r>
        <w:t>l’eau</w:t>
      </w:r>
      <w:proofErr w:type="spellEnd"/>
      <w:r>
        <w:t>, explanada, lluna, tot el port....</w:t>
      </w:r>
    </w:p>
    <w:p w:rsidR="000A1A65" w:rsidRDefault="000A1A65">
      <w:r>
        <w:t>Amb entitats per la reducció d’ajuts, per decisions com ara la</w:t>
      </w:r>
      <w:r w:rsidR="00FA68E9">
        <w:t xml:space="preserve"> ubicació de la</w:t>
      </w:r>
      <w:r w:rsidR="00990138">
        <w:t xml:space="preserve"> </w:t>
      </w:r>
      <w:r w:rsidR="00FA68E9">
        <w:t>fira d’entitats, fins i tot açò ha suposat conflictes</w:t>
      </w:r>
    </w:p>
    <w:p w:rsidR="00FA68E9" w:rsidRDefault="00FA68E9">
      <w:r>
        <w:t>O amb el artesans o els firaires o els taxistes, també.</w:t>
      </w:r>
    </w:p>
    <w:p w:rsidR="000A1A65" w:rsidRDefault="000A1A65">
      <w:r>
        <w:t xml:space="preserve">Amb persones </w:t>
      </w:r>
      <w:proofErr w:type="spellStart"/>
      <w:r>
        <w:t>il.lustres</w:t>
      </w:r>
      <w:proofErr w:type="spellEnd"/>
      <w:r>
        <w:t xml:space="preserve"> com el mateix Ramón coll, medalla d’or de</w:t>
      </w:r>
      <w:r w:rsidR="00990138">
        <w:t xml:space="preserve"> </w:t>
      </w:r>
      <w:r>
        <w:t>la ciutat.</w:t>
      </w:r>
    </w:p>
    <w:p w:rsidR="000A1A65" w:rsidRDefault="000A1A65">
      <w:r>
        <w:t xml:space="preserve">Amb bars i restaurants, </w:t>
      </w:r>
      <w:r w:rsidR="00990138">
        <w:t>per les terrasses, pels concerts</w:t>
      </w:r>
      <w:r>
        <w:t xml:space="preserve"> o revetlles de </w:t>
      </w:r>
      <w:r w:rsidR="00990138">
        <w:t>les</w:t>
      </w:r>
      <w:r>
        <w:t xml:space="preserve"> festes.</w:t>
      </w:r>
    </w:p>
    <w:p w:rsidR="000A1A65" w:rsidRDefault="000A1A65">
      <w:r>
        <w:t>Amb el mercat municipal, amb el del peix.</w:t>
      </w:r>
    </w:p>
    <w:p w:rsidR="000A1A65" w:rsidRDefault="000A1A65">
      <w:r>
        <w:t>Per no dir els conflictes amb el personal de la casa.</w:t>
      </w:r>
    </w:p>
    <w:p w:rsidR="000A1A65" w:rsidRDefault="000A1A65">
      <w:proofErr w:type="spellStart"/>
      <w:r>
        <w:t>Sra</w:t>
      </w:r>
      <w:proofErr w:type="spellEnd"/>
      <w:r>
        <w:t xml:space="preserve"> </w:t>
      </w:r>
      <w:proofErr w:type="spellStart"/>
      <w:r>
        <w:t>reynés</w:t>
      </w:r>
      <w:proofErr w:type="spellEnd"/>
      <w:r>
        <w:t>, decisions preses des de l’interès o bé molt puntual o bé sense ganes de ser consensuades. Possiblement la imatge que resumeix tota aquesta manera de fer és el tancament del port.</w:t>
      </w:r>
    </w:p>
    <w:p w:rsidR="000A1A65" w:rsidRDefault="000A1A65">
      <w:r>
        <w:t xml:space="preserve">Decisions sense projecte i </w:t>
      </w:r>
      <w:r w:rsidR="00FA68E9">
        <w:t xml:space="preserve">per tant sí, una Ciutat que ha </w:t>
      </w:r>
      <w:r>
        <w:t>perdut el nord.</w:t>
      </w:r>
    </w:p>
    <w:p w:rsidR="000A1A65" w:rsidRDefault="000A1A65">
      <w:r>
        <w:t xml:space="preserve">I una batlessa que no ha defensat bé els interessos de la Ciutat. La segona imatge potser més </w:t>
      </w:r>
      <w:proofErr w:type="spellStart"/>
      <w:r>
        <w:t>il.lustrativa</w:t>
      </w:r>
      <w:proofErr w:type="spellEnd"/>
      <w:r>
        <w:t xml:space="preserve"> és la de vostè baixant al Port </w:t>
      </w:r>
      <w:r w:rsidR="001B511A">
        <w:t>ordenant l’aturada immediata d</w:t>
      </w:r>
      <w:r>
        <w:t>e</w:t>
      </w:r>
      <w:r w:rsidR="001B511A">
        <w:t>l</w:t>
      </w:r>
      <w:r>
        <w:t xml:space="preserve"> </w:t>
      </w:r>
      <w:proofErr w:type="spellStart"/>
      <w:r>
        <w:t>travelift</w:t>
      </w:r>
      <w:proofErr w:type="spellEnd"/>
      <w:r>
        <w:t xml:space="preserve">.... que trist! Ens hauria d’explicar que va passar fa pocs dies al consell </w:t>
      </w:r>
      <w:r w:rsidR="00990138">
        <w:t>d’administració</w:t>
      </w:r>
      <w:r>
        <w:t xml:space="preserve"> d’APB quan es va demanar que el que s’est</w:t>
      </w:r>
      <w:r w:rsidR="001B511A">
        <w:t>a</w:t>
      </w:r>
      <w:r>
        <w:t>va desmuntant a palma pogués ser posat a Maó i vostè no va estar-hi d’acord...</w:t>
      </w:r>
    </w:p>
    <w:p w:rsidR="00F20060" w:rsidRDefault="00F22E38">
      <w:r>
        <w:t xml:space="preserve">En qualsevol cas disciplinada ho és, amb les ordres de dalt. Amb APB, amb el Sr </w:t>
      </w:r>
      <w:proofErr w:type="spellStart"/>
      <w:r>
        <w:t>Bauzá</w:t>
      </w:r>
      <w:proofErr w:type="spellEnd"/>
      <w:r>
        <w:t xml:space="preserve"> i amb el Sr Rajoy.</w:t>
      </w:r>
    </w:p>
    <w:p w:rsidR="00F22E38" w:rsidRDefault="00F22E38">
      <w:r>
        <w:t xml:space="preserve">Ens va vendre que el nomenament del </w:t>
      </w:r>
      <w:proofErr w:type="spellStart"/>
      <w:r>
        <w:t>sr</w:t>
      </w:r>
      <w:proofErr w:type="spellEnd"/>
      <w:r>
        <w:t xml:space="preserve"> </w:t>
      </w:r>
      <w:proofErr w:type="spellStart"/>
      <w:r>
        <w:t>gornés</w:t>
      </w:r>
      <w:proofErr w:type="spellEnd"/>
      <w:r>
        <w:t xml:space="preserve"> com a conseller era una garantia de millores en la capacitat d’influència. Efectivament influència per canviar mitjançant llei de funció pública el nom de la Ciutat, açò també ho han canviat i per cert no ho duien al programa electoral.</w:t>
      </w:r>
    </w:p>
    <w:p w:rsidR="00F22E38" w:rsidRDefault="00990138">
      <w:r>
        <w:t>Per açò ha servit</w:t>
      </w:r>
      <w:r w:rsidR="00F22E38">
        <w:t xml:space="preserve"> la influència del </w:t>
      </w:r>
      <w:proofErr w:type="spellStart"/>
      <w:r w:rsidR="00F22E38">
        <w:t>sr</w:t>
      </w:r>
      <w:proofErr w:type="spellEnd"/>
      <w:r w:rsidR="00F22E38">
        <w:t xml:space="preserve"> </w:t>
      </w:r>
      <w:proofErr w:type="spellStart"/>
      <w:r w:rsidR="00F22E38">
        <w:t>gornés</w:t>
      </w:r>
      <w:proofErr w:type="spellEnd"/>
      <w:r w:rsidR="00F22E38">
        <w:t xml:space="preserve">. Vostè em dirà i per sa graduada, si que és cert, només faltaria si ni açò hagués aconseguit ja seria escandalós. Ara el paquet amb que anava sa graduada que era la </w:t>
      </w:r>
      <w:proofErr w:type="spellStart"/>
      <w:r w:rsidR="00F22E38">
        <w:t>sol.lució</w:t>
      </w:r>
      <w:proofErr w:type="spellEnd"/>
      <w:r w:rsidR="00F22E38">
        <w:t xml:space="preserve"> de l’escola d’adults, vertader problema d’aquest binomi, res en sabem més que estan negociant </w:t>
      </w:r>
      <w:proofErr w:type="spellStart"/>
      <w:r w:rsidR="00F22E38">
        <w:t>santiago</w:t>
      </w:r>
      <w:proofErr w:type="spellEnd"/>
      <w:r w:rsidR="00F22E38">
        <w:t xml:space="preserve">. </w:t>
      </w:r>
    </w:p>
    <w:p w:rsidR="005D6CE1" w:rsidRDefault="005D6CE1" w:rsidP="005D6CE1">
      <w:r>
        <w:t xml:space="preserve">Miri </w:t>
      </w:r>
      <w:proofErr w:type="spellStart"/>
      <w:r>
        <w:t>sra</w:t>
      </w:r>
      <w:proofErr w:type="spellEnd"/>
      <w:r>
        <w:t xml:space="preserve"> Batlessa per açò li hem formulat les 112 preguntes. Per contrastar el que vos</w:t>
      </w:r>
      <w:r w:rsidR="00944553">
        <w:t xml:space="preserve">tès han fet en aquests 2 anys, per poder traslladar resposta de les preocupacions que ens transmeten entitats, </w:t>
      </w:r>
      <w:proofErr w:type="spellStart"/>
      <w:r w:rsidR="00944553">
        <w:t>col.lectius</w:t>
      </w:r>
      <w:proofErr w:type="spellEnd"/>
      <w:r w:rsidR="00944553">
        <w:t xml:space="preserve"> i </w:t>
      </w:r>
      <w:proofErr w:type="spellStart"/>
      <w:r w:rsidR="00944553">
        <w:t>vesisnn</w:t>
      </w:r>
      <w:proofErr w:type="spellEnd"/>
      <w:r w:rsidR="00944553">
        <w:t xml:space="preserve"> i vesines que no es senten escoltats per vostè.</w:t>
      </w:r>
    </w:p>
    <w:p w:rsidR="00A57AF8" w:rsidRDefault="00A57AF8" w:rsidP="005D6CE1">
      <w:r>
        <w:t>Per poder fer la feina que vostès NO fan.</w:t>
      </w:r>
    </w:p>
    <w:p w:rsidR="00A57AF8" w:rsidRDefault="00A57AF8" w:rsidP="005D6CE1">
      <w:r>
        <w:lastRenderedPageBreak/>
        <w:t xml:space="preserve">Vaig acabant </w:t>
      </w:r>
      <w:proofErr w:type="spellStart"/>
      <w:r>
        <w:t>Sra</w:t>
      </w:r>
      <w:proofErr w:type="spellEnd"/>
      <w:r>
        <w:t xml:space="preserve"> Batlessa, </w:t>
      </w:r>
      <w:r w:rsidR="000B02D7">
        <w:t xml:space="preserve">queda ben clar que no </w:t>
      </w:r>
      <w:proofErr w:type="spellStart"/>
      <w:r w:rsidR="000B02D7">
        <w:t>confiam</w:t>
      </w:r>
      <w:proofErr w:type="spellEnd"/>
      <w:r w:rsidR="000B02D7">
        <w:t xml:space="preserve"> amb vostè. Perquè no creiem que la política de la creació de conflictes, la política del menyspreu, la política del desacord sigui una forma adequada MAI però en aquests moments de </w:t>
      </w:r>
      <w:r w:rsidR="00990138">
        <w:t>dificultats</w:t>
      </w:r>
      <w:r w:rsidR="000B02D7">
        <w:t xml:space="preserve"> molt manco.</w:t>
      </w:r>
    </w:p>
    <w:p w:rsidR="000B02D7" w:rsidRDefault="000B02D7" w:rsidP="005D6CE1">
      <w:r>
        <w:t xml:space="preserve">Per açò no </w:t>
      </w:r>
      <w:proofErr w:type="spellStart"/>
      <w:r>
        <w:t>confiam</w:t>
      </w:r>
      <w:proofErr w:type="spellEnd"/>
      <w:r>
        <w:t xml:space="preserve"> amb vostè, en canvi si </w:t>
      </w:r>
      <w:proofErr w:type="spellStart"/>
      <w:r>
        <w:t>confiam</w:t>
      </w:r>
      <w:proofErr w:type="spellEnd"/>
      <w:r>
        <w:t xml:space="preserve"> i molt amb la gent de maó.</w:t>
      </w:r>
    </w:p>
    <w:p w:rsidR="00735507" w:rsidRDefault="00735507" w:rsidP="005D6CE1">
      <w:proofErr w:type="spellStart"/>
      <w:r>
        <w:t>Perque</w:t>
      </w:r>
      <w:proofErr w:type="spellEnd"/>
      <w:r>
        <w:t xml:space="preserve"> com diu </w:t>
      </w:r>
      <w:proofErr w:type="spellStart"/>
      <w:r>
        <w:t>martí</w:t>
      </w:r>
      <w:proofErr w:type="spellEnd"/>
      <w:r>
        <w:t xml:space="preserve"> i pol:</w:t>
      </w:r>
    </w:p>
    <w:p w:rsidR="00735507" w:rsidRPr="00735507" w:rsidRDefault="00735507" w:rsidP="00735507">
      <w:r>
        <w:t>“</w:t>
      </w:r>
      <w:r w:rsidRPr="00735507">
        <w:rPr>
          <w:b/>
          <w:bCs/>
        </w:rPr>
        <w:t>El poble és el meu esforç i el vostre esforç,</w:t>
      </w:r>
    </w:p>
    <w:p w:rsidR="00735507" w:rsidRPr="00735507" w:rsidRDefault="00735507" w:rsidP="00735507">
      <w:r w:rsidRPr="00735507">
        <w:rPr>
          <w:b/>
          <w:bCs/>
        </w:rPr>
        <w:t>és la meva veu i la vostra veu,</w:t>
      </w:r>
    </w:p>
    <w:p w:rsidR="00735507" w:rsidRPr="00735507" w:rsidRDefault="00735507" w:rsidP="00735507">
      <w:r w:rsidRPr="00735507">
        <w:rPr>
          <w:b/>
          <w:bCs/>
        </w:rPr>
        <w:t>és la meva petita mort i la vostra petita mort.</w:t>
      </w:r>
    </w:p>
    <w:p w:rsidR="00735507" w:rsidRPr="00735507" w:rsidRDefault="00735507" w:rsidP="00735507">
      <w:r w:rsidRPr="00735507">
        <w:rPr>
          <w:b/>
          <w:bCs/>
        </w:rPr>
        <w:t>El poble és el conjunt del nostre esforç</w:t>
      </w:r>
    </w:p>
    <w:p w:rsidR="00735507" w:rsidRPr="00735507" w:rsidRDefault="00735507" w:rsidP="00735507">
      <w:r w:rsidRPr="00735507">
        <w:rPr>
          <w:b/>
          <w:bCs/>
        </w:rPr>
        <w:t>i de la nostra veu</w:t>
      </w:r>
    </w:p>
    <w:p w:rsidR="00735507" w:rsidRPr="00735507" w:rsidRDefault="00735507" w:rsidP="00735507">
      <w:r w:rsidRPr="00735507">
        <w:rPr>
          <w:b/>
          <w:bCs/>
        </w:rPr>
        <w:t>i de la nostra petita mort.</w:t>
      </w:r>
    </w:p>
    <w:p w:rsidR="00735507" w:rsidRPr="00735507" w:rsidRDefault="00735507" w:rsidP="00735507">
      <w:r w:rsidRPr="00735507">
        <w:rPr>
          <w:b/>
          <w:bCs/>
        </w:rPr>
        <w:t>El poble és tothom,</w:t>
      </w:r>
    </w:p>
    <w:p w:rsidR="00735507" w:rsidRPr="00735507" w:rsidRDefault="00735507" w:rsidP="00735507">
      <w:r w:rsidRPr="00735507">
        <w:rPr>
          <w:b/>
          <w:bCs/>
        </w:rPr>
        <w:t>el poble és ningú.</w:t>
      </w:r>
    </w:p>
    <w:p w:rsidR="00735507" w:rsidRPr="00735507" w:rsidRDefault="00735507" w:rsidP="00735507">
      <w:r w:rsidRPr="00735507">
        <w:rPr>
          <w:b/>
          <w:bCs/>
        </w:rPr>
        <w:t>El poble és tot:</w:t>
      </w:r>
    </w:p>
    <w:p w:rsidR="00735507" w:rsidRPr="00735507" w:rsidRDefault="00735507" w:rsidP="00735507">
      <w:r w:rsidRPr="00735507">
        <w:rPr>
          <w:b/>
          <w:bCs/>
        </w:rPr>
        <w:t>El principi i la fi,</w:t>
      </w:r>
    </w:p>
    <w:p w:rsidR="00735507" w:rsidRPr="00735507" w:rsidRDefault="00735507" w:rsidP="00735507">
      <w:r w:rsidRPr="00735507">
        <w:rPr>
          <w:b/>
          <w:bCs/>
        </w:rPr>
        <w:t>l'amor i l'odi,</w:t>
      </w:r>
    </w:p>
    <w:p w:rsidR="00735507" w:rsidRPr="00735507" w:rsidRDefault="00735507" w:rsidP="00735507">
      <w:r w:rsidRPr="00735507">
        <w:rPr>
          <w:b/>
          <w:bCs/>
        </w:rPr>
        <w:t>la veu i el silenci,</w:t>
      </w:r>
    </w:p>
    <w:p w:rsidR="00735507" w:rsidRPr="00735507" w:rsidRDefault="00735507" w:rsidP="00735507">
      <w:r w:rsidRPr="00735507">
        <w:rPr>
          <w:b/>
          <w:bCs/>
        </w:rPr>
        <w:t>la vida i la mort.</w:t>
      </w:r>
    </w:p>
    <w:p w:rsidR="00735507" w:rsidRDefault="00735507" w:rsidP="005D6CE1"/>
    <w:p w:rsidR="000B02D7" w:rsidRDefault="000B02D7" w:rsidP="005D6CE1">
      <w:r>
        <w:t>Amb milers de maonesos i maoneses que han sortit endavant defensant la seva història, la seva cultura, els seus valors com a poble i que davant la seva inacció o davant la seva mala acció recuperaran el sentit crític, l’acció més reivindicativa en defensa del que sempre ha estat Maó i sa seva gent. Una societat obe</w:t>
      </w:r>
      <w:r w:rsidR="00735507">
        <w:t>rta, tolerant, solidària, que e</w:t>
      </w:r>
      <w:r>
        <w:t>s</w:t>
      </w:r>
      <w:r w:rsidR="00735507">
        <w:t xml:space="preserve"> </w:t>
      </w:r>
      <w:r>
        <w:t xml:space="preserve">preocupa pels seus vesins i vesines que ho passen més malament i que creu amb el seu futur. Tot allò </w:t>
      </w:r>
      <w:proofErr w:type="spellStart"/>
      <w:r>
        <w:t>Sra</w:t>
      </w:r>
      <w:proofErr w:type="spellEnd"/>
      <w:r>
        <w:t xml:space="preserve"> batlessa que vostè </w:t>
      </w:r>
      <w:r w:rsidR="00735507">
        <w:t>NO</w:t>
      </w:r>
      <w:r>
        <w:t xml:space="preserve"> representa.</w:t>
      </w:r>
    </w:p>
    <w:p w:rsidR="000B02D7" w:rsidRDefault="000B02D7" w:rsidP="005D6CE1">
      <w:r>
        <w:t xml:space="preserve">I devora aquesta gent, devora les entitats, devora els </w:t>
      </w:r>
      <w:proofErr w:type="spellStart"/>
      <w:r>
        <w:t>col.elctius</w:t>
      </w:r>
      <w:proofErr w:type="spellEnd"/>
      <w:r>
        <w:t xml:space="preserve"> maonesos ens hi trobaran al PSOE. Amb respecte, </w:t>
      </w:r>
      <w:r w:rsidR="00EC5C1D">
        <w:t>amb humilitat però defensant amb fermesa la dignitat d’aquest poble</w:t>
      </w:r>
      <w:r w:rsidR="00735507">
        <w:t>.</w:t>
      </w:r>
    </w:p>
    <w:p w:rsidR="00735507" w:rsidRDefault="00735507" w:rsidP="005D6CE1">
      <w:r>
        <w:t xml:space="preserve">Moltes gràcies </w:t>
      </w:r>
      <w:proofErr w:type="spellStart"/>
      <w:r>
        <w:t>Sra</w:t>
      </w:r>
      <w:proofErr w:type="spellEnd"/>
      <w:r>
        <w:t xml:space="preserve"> Batlessa</w:t>
      </w:r>
    </w:p>
    <w:p w:rsidR="005D6CE1" w:rsidRPr="005D76AE" w:rsidRDefault="005D6CE1"/>
    <w:p w:rsidR="005D76AE" w:rsidRPr="00162501" w:rsidRDefault="005D76AE"/>
    <w:sectPr w:rsidR="005D76AE" w:rsidRPr="001625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67E"/>
    <w:multiLevelType w:val="hybridMultilevel"/>
    <w:tmpl w:val="62EC7F92"/>
    <w:lvl w:ilvl="0" w:tplc="E70EA040">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0681952"/>
    <w:multiLevelType w:val="hybridMultilevel"/>
    <w:tmpl w:val="045C96EA"/>
    <w:lvl w:ilvl="0" w:tplc="2170303E">
      <w:start w:val="1"/>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AE"/>
    <w:rsid w:val="000A1A65"/>
    <w:rsid w:val="000B02D7"/>
    <w:rsid w:val="00123992"/>
    <w:rsid w:val="00162501"/>
    <w:rsid w:val="001B511A"/>
    <w:rsid w:val="003C3A47"/>
    <w:rsid w:val="0047168B"/>
    <w:rsid w:val="00503B7F"/>
    <w:rsid w:val="005A66DF"/>
    <w:rsid w:val="005C1946"/>
    <w:rsid w:val="005D6CE1"/>
    <w:rsid w:val="005D76AE"/>
    <w:rsid w:val="0060674D"/>
    <w:rsid w:val="0069015B"/>
    <w:rsid w:val="00735507"/>
    <w:rsid w:val="007E4B28"/>
    <w:rsid w:val="009156C4"/>
    <w:rsid w:val="00932A5A"/>
    <w:rsid w:val="00944553"/>
    <w:rsid w:val="00950FD6"/>
    <w:rsid w:val="00974120"/>
    <w:rsid w:val="00990138"/>
    <w:rsid w:val="009E58BE"/>
    <w:rsid w:val="00A57AF8"/>
    <w:rsid w:val="00C54E13"/>
    <w:rsid w:val="00C54EE1"/>
    <w:rsid w:val="00C623E4"/>
    <w:rsid w:val="00C778E4"/>
    <w:rsid w:val="00D23836"/>
    <w:rsid w:val="00D36AC4"/>
    <w:rsid w:val="00E457CF"/>
    <w:rsid w:val="00E76BFF"/>
    <w:rsid w:val="00EC5C1D"/>
    <w:rsid w:val="00F20060"/>
    <w:rsid w:val="00F22E38"/>
    <w:rsid w:val="00FA657B"/>
    <w:rsid w:val="00FA68E9"/>
    <w:rsid w:val="00FA6FD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CE1"/>
    <w:pPr>
      <w:ind w:left="720"/>
      <w:contextualSpacing/>
    </w:pPr>
  </w:style>
  <w:style w:type="paragraph" w:styleId="NormalWeb">
    <w:name w:val="Normal (Web)"/>
    <w:basedOn w:val="Normal"/>
    <w:uiPriority w:val="99"/>
    <w:semiHidden/>
    <w:unhideWhenUsed/>
    <w:rsid w:val="00735507"/>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9901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CE1"/>
    <w:pPr>
      <w:ind w:left="720"/>
      <w:contextualSpacing/>
    </w:pPr>
  </w:style>
  <w:style w:type="paragraph" w:styleId="NormalWeb">
    <w:name w:val="Normal (Web)"/>
    <w:basedOn w:val="Normal"/>
    <w:uiPriority w:val="99"/>
    <w:semiHidden/>
    <w:unhideWhenUsed/>
    <w:rsid w:val="00735507"/>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9901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5308">
      <w:bodyDiv w:val="1"/>
      <w:marLeft w:val="0"/>
      <w:marRight w:val="0"/>
      <w:marTop w:val="0"/>
      <w:marBottom w:val="0"/>
      <w:divBdr>
        <w:top w:val="none" w:sz="0" w:space="0" w:color="auto"/>
        <w:left w:val="none" w:sz="0" w:space="0" w:color="auto"/>
        <w:bottom w:val="none" w:sz="0" w:space="0" w:color="auto"/>
        <w:right w:val="none" w:sz="0" w:space="0" w:color="auto"/>
      </w:divBdr>
    </w:div>
    <w:div w:id="521239816">
      <w:bodyDiv w:val="1"/>
      <w:marLeft w:val="0"/>
      <w:marRight w:val="0"/>
      <w:marTop w:val="0"/>
      <w:marBottom w:val="0"/>
      <w:divBdr>
        <w:top w:val="none" w:sz="0" w:space="0" w:color="auto"/>
        <w:left w:val="none" w:sz="0" w:space="0" w:color="auto"/>
        <w:bottom w:val="none" w:sz="0" w:space="0" w:color="auto"/>
        <w:right w:val="none" w:sz="0" w:space="0" w:color="auto"/>
      </w:divBdr>
    </w:div>
    <w:div w:id="898975553">
      <w:bodyDiv w:val="1"/>
      <w:marLeft w:val="0"/>
      <w:marRight w:val="0"/>
      <w:marTop w:val="0"/>
      <w:marBottom w:val="0"/>
      <w:divBdr>
        <w:top w:val="none" w:sz="0" w:space="0" w:color="auto"/>
        <w:left w:val="none" w:sz="0" w:space="0" w:color="auto"/>
        <w:bottom w:val="none" w:sz="0" w:space="0" w:color="auto"/>
        <w:right w:val="none" w:sz="0" w:space="0" w:color="auto"/>
      </w:divBdr>
      <w:divsChild>
        <w:div w:id="156113840">
          <w:marLeft w:val="0"/>
          <w:marRight w:val="0"/>
          <w:marTop w:val="0"/>
          <w:marBottom w:val="0"/>
          <w:divBdr>
            <w:top w:val="none" w:sz="0" w:space="0" w:color="auto"/>
            <w:left w:val="none" w:sz="0" w:space="0" w:color="auto"/>
            <w:bottom w:val="none" w:sz="0" w:space="0" w:color="auto"/>
            <w:right w:val="none" w:sz="0" w:space="0" w:color="auto"/>
          </w:divBdr>
          <w:divsChild>
            <w:div w:id="43989994">
              <w:marLeft w:val="0"/>
              <w:marRight w:val="0"/>
              <w:marTop w:val="0"/>
              <w:marBottom w:val="0"/>
              <w:divBdr>
                <w:top w:val="none" w:sz="0" w:space="0" w:color="auto"/>
                <w:left w:val="none" w:sz="0" w:space="0" w:color="auto"/>
                <w:bottom w:val="none" w:sz="0" w:space="0" w:color="auto"/>
                <w:right w:val="none" w:sz="0" w:space="0" w:color="auto"/>
              </w:divBdr>
              <w:divsChild>
                <w:div w:id="1404841016">
                  <w:marLeft w:val="0"/>
                  <w:marRight w:val="0"/>
                  <w:marTop w:val="100"/>
                  <w:marBottom w:val="100"/>
                  <w:divBdr>
                    <w:top w:val="none" w:sz="0" w:space="0" w:color="auto"/>
                    <w:left w:val="none" w:sz="0" w:space="0" w:color="auto"/>
                    <w:bottom w:val="none" w:sz="0" w:space="0" w:color="auto"/>
                    <w:right w:val="none" w:sz="0" w:space="0" w:color="auto"/>
                  </w:divBdr>
                  <w:divsChild>
                    <w:div w:id="336660743">
                      <w:marLeft w:val="0"/>
                      <w:marRight w:val="0"/>
                      <w:marTop w:val="0"/>
                      <w:marBottom w:val="0"/>
                      <w:divBdr>
                        <w:top w:val="none" w:sz="0" w:space="0" w:color="auto"/>
                        <w:left w:val="none" w:sz="0" w:space="0" w:color="auto"/>
                        <w:bottom w:val="none" w:sz="0" w:space="0" w:color="auto"/>
                        <w:right w:val="none" w:sz="0" w:space="0" w:color="auto"/>
                      </w:divBdr>
                      <w:divsChild>
                        <w:div w:id="955332973">
                          <w:marLeft w:val="0"/>
                          <w:marRight w:val="0"/>
                          <w:marTop w:val="0"/>
                          <w:marBottom w:val="0"/>
                          <w:divBdr>
                            <w:top w:val="none" w:sz="0" w:space="0" w:color="auto"/>
                            <w:left w:val="none" w:sz="0" w:space="0" w:color="auto"/>
                            <w:bottom w:val="none" w:sz="0" w:space="0" w:color="auto"/>
                            <w:right w:val="none" w:sz="0" w:space="0" w:color="auto"/>
                          </w:divBdr>
                          <w:divsChild>
                            <w:div w:id="1133407428">
                              <w:marLeft w:val="0"/>
                              <w:marRight w:val="0"/>
                              <w:marTop w:val="0"/>
                              <w:marBottom w:val="0"/>
                              <w:divBdr>
                                <w:top w:val="none" w:sz="0" w:space="0" w:color="auto"/>
                                <w:left w:val="none" w:sz="0" w:space="0" w:color="auto"/>
                                <w:bottom w:val="none" w:sz="0" w:space="0" w:color="auto"/>
                                <w:right w:val="none" w:sz="0" w:space="0" w:color="auto"/>
                              </w:divBdr>
                              <w:divsChild>
                                <w:div w:id="1396080544">
                                  <w:marLeft w:val="75"/>
                                  <w:marRight w:val="75"/>
                                  <w:marTop w:val="0"/>
                                  <w:marBottom w:val="0"/>
                                  <w:divBdr>
                                    <w:top w:val="single" w:sz="6" w:space="0" w:color="303336"/>
                                    <w:left w:val="single" w:sz="6" w:space="0" w:color="303336"/>
                                    <w:bottom w:val="single" w:sz="6" w:space="0" w:color="303336"/>
                                    <w:right w:val="single" w:sz="6" w:space="0" w:color="303336"/>
                                  </w:divBdr>
                                  <w:divsChild>
                                    <w:div w:id="1256748583">
                                      <w:marLeft w:val="0"/>
                                      <w:marRight w:val="0"/>
                                      <w:marTop w:val="0"/>
                                      <w:marBottom w:val="0"/>
                                      <w:divBdr>
                                        <w:top w:val="none" w:sz="0" w:space="0" w:color="auto"/>
                                        <w:left w:val="none" w:sz="0" w:space="0" w:color="auto"/>
                                        <w:bottom w:val="none" w:sz="0" w:space="0" w:color="auto"/>
                                        <w:right w:val="none" w:sz="0" w:space="0" w:color="auto"/>
                                      </w:divBdr>
                                      <w:divsChild>
                                        <w:div w:id="2131119311">
                                          <w:marLeft w:val="0"/>
                                          <w:marRight w:val="0"/>
                                          <w:marTop w:val="0"/>
                                          <w:marBottom w:val="0"/>
                                          <w:divBdr>
                                            <w:top w:val="none" w:sz="0" w:space="0" w:color="auto"/>
                                            <w:left w:val="none" w:sz="0" w:space="0" w:color="auto"/>
                                            <w:bottom w:val="none" w:sz="0" w:space="0" w:color="auto"/>
                                            <w:right w:val="none" w:sz="0" w:space="0" w:color="auto"/>
                                          </w:divBdr>
                                          <w:divsChild>
                                            <w:div w:id="1129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Hoja1!$F$8</c:f>
              <c:strCache>
                <c:ptCount val="1"/>
                <c:pt idx="0">
                  <c:v>maig 2013</c:v>
                </c:pt>
              </c:strCache>
            </c:strRef>
          </c:tx>
          <c:invertIfNegative val="0"/>
          <c:cat>
            <c:strRef>
              <c:f>Hoja1!$E$9:$E$15</c:f>
              <c:strCache>
                <c:ptCount val="7"/>
                <c:pt idx="0">
                  <c:v>Població</c:v>
                </c:pt>
                <c:pt idx="1">
                  <c:v>Cotització</c:v>
                </c:pt>
                <c:pt idx="2">
                  <c:v>Afiliats SS</c:v>
                </c:pt>
                <c:pt idx="3">
                  <c:v>Autònoms</c:v>
                </c:pt>
                <c:pt idx="4">
                  <c:v>Atur</c:v>
                </c:pt>
                <c:pt idx="5">
                  <c:v>Demandat</c:v>
                </c:pt>
                <c:pt idx="6">
                  <c:v>aturats sense prestació</c:v>
                </c:pt>
              </c:strCache>
            </c:strRef>
          </c:cat>
          <c:val>
            <c:numRef>
              <c:f>Hoja1!$F$9:$F$15</c:f>
              <c:numCache>
                <c:formatCode>#,##0</c:formatCode>
                <c:ptCount val="7"/>
                <c:pt idx="0" formatCode="General">
                  <c:v>28972</c:v>
                </c:pt>
                <c:pt idx="1">
                  <c:v>1298</c:v>
                </c:pt>
                <c:pt idx="2">
                  <c:v>10820</c:v>
                </c:pt>
                <c:pt idx="3">
                  <c:v>2003</c:v>
                </c:pt>
                <c:pt idx="4" formatCode="General">
                  <c:v>2314</c:v>
                </c:pt>
                <c:pt idx="5">
                  <c:v>3248</c:v>
                </c:pt>
                <c:pt idx="6" formatCode="General">
                  <c:v>1737</c:v>
                </c:pt>
              </c:numCache>
            </c:numRef>
          </c:val>
        </c:ser>
        <c:ser>
          <c:idx val="1"/>
          <c:order val="1"/>
          <c:tx>
            <c:strRef>
              <c:f>Hoja1!$G$8</c:f>
              <c:strCache>
                <c:ptCount val="1"/>
                <c:pt idx="0">
                  <c:v>maig 2011</c:v>
                </c:pt>
              </c:strCache>
            </c:strRef>
          </c:tx>
          <c:invertIfNegative val="0"/>
          <c:cat>
            <c:strRef>
              <c:f>Hoja1!$E$9:$E$15</c:f>
              <c:strCache>
                <c:ptCount val="7"/>
                <c:pt idx="0">
                  <c:v>Població</c:v>
                </c:pt>
                <c:pt idx="1">
                  <c:v>Cotització</c:v>
                </c:pt>
                <c:pt idx="2">
                  <c:v>Afiliats SS</c:v>
                </c:pt>
                <c:pt idx="3">
                  <c:v>Autònoms</c:v>
                </c:pt>
                <c:pt idx="4">
                  <c:v>Atur</c:v>
                </c:pt>
                <c:pt idx="5">
                  <c:v>Demandat</c:v>
                </c:pt>
                <c:pt idx="6">
                  <c:v>aturats sense prestació</c:v>
                </c:pt>
              </c:strCache>
            </c:strRef>
          </c:cat>
          <c:val>
            <c:numRef>
              <c:f>Hoja1!$G$9:$G$15</c:f>
              <c:numCache>
                <c:formatCode>#,##0</c:formatCode>
                <c:ptCount val="7"/>
                <c:pt idx="0">
                  <c:v>29050</c:v>
                </c:pt>
                <c:pt idx="1">
                  <c:v>1335</c:v>
                </c:pt>
                <c:pt idx="2">
                  <c:v>11513</c:v>
                </c:pt>
                <c:pt idx="3">
                  <c:v>2034</c:v>
                </c:pt>
                <c:pt idx="4">
                  <c:v>2204</c:v>
                </c:pt>
                <c:pt idx="5">
                  <c:v>3143</c:v>
                </c:pt>
                <c:pt idx="6">
                  <c:v>1599</c:v>
                </c:pt>
              </c:numCache>
            </c:numRef>
          </c:val>
        </c:ser>
        <c:ser>
          <c:idx val="2"/>
          <c:order val="2"/>
          <c:tx>
            <c:strRef>
              <c:f>Hoja1!$H$8</c:f>
              <c:strCache>
                <c:ptCount val="1"/>
                <c:pt idx="0">
                  <c:v>diferència</c:v>
                </c:pt>
              </c:strCache>
            </c:strRef>
          </c:tx>
          <c:invertIfNegative val="0"/>
          <c:cat>
            <c:strRef>
              <c:f>Hoja1!$E$9:$E$15</c:f>
              <c:strCache>
                <c:ptCount val="7"/>
                <c:pt idx="0">
                  <c:v>Població</c:v>
                </c:pt>
                <c:pt idx="1">
                  <c:v>Cotització</c:v>
                </c:pt>
                <c:pt idx="2">
                  <c:v>Afiliats SS</c:v>
                </c:pt>
                <c:pt idx="3">
                  <c:v>Autònoms</c:v>
                </c:pt>
                <c:pt idx="4">
                  <c:v>Atur</c:v>
                </c:pt>
                <c:pt idx="5">
                  <c:v>Demandat</c:v>
                </c:pt>
                <c:pt idx="6">
                  <c:v>aturats sense prestació</c:v>
                </c:pt>
              </c:strCache>
            </c:strRef>
          </c:cat>
          <c:val>
            <c:numRef>
              <c:f>Hoja1!$H$9:$H$15</c:f>
              <c:numCache>
                <c:formatCode>#,##0</c:formatCode>
                <c:ptCount val="7"/>
                <c:pt idx="0">
                  <c:v>-78</c:v>
                </c:pt>
                <c:pt idx="1">
                  <c:v>-37</c:v>
                </c:pt>
                <c:pt idx="2">
                  <c:v>-693</c:v>
                </c:pt>
                <c:pt idx="3">
                  <c:v>-31</c:v>
                </c:pt>
                <c:pt idx="4">
                  <c:v>110</c:v>
                </c:pt>
                <c:pt idx="5">
                  <c:v>105</c:v>
                </c:pt>
                <c:pt idx="6">
                  <c:v>138</c:v>
                </c:pt>
              </c:numCache>
            </c:numRef>
          </c:val>
        </c:ser>
        <c:ser>
          <c:idx val="3"/>
          <c:order val="3"/>
          <c:tx>
            <c:strRef>
              <c:f>Hoja1!$I$8</c:f>
              <c:strCache>
                <c:ptCount val="1"/>
                <c:pt idx="0">
                  <c:v>%</c:v>
                </c:pt>
              </c:strCache>
            </c:strRef>
          </c:tx>
          <c:invertIfNegative val="0"/>
          <c:cat>
            <c:strRef>
              <c:f>Hoja1!$E$9:$E$15</c:f>
              <c:strCache>
                <c:ptCount val="7"/>
                <c:pt idx="0">
                  <c:v>Població</c:v>
                </c:pt>
                <c:pt idx="1">
                  <c:v>Cotització</c:v>
                </c:pt>
                <c:pt idx="2">
                  <c:v>Afiliats SS</c:v>
                </c:pt>
                <c:pt idx="3">
                  <c:v>Autònoms</c:v>
                </c:pt>
                <c:pt idx="4">
                  <c:v>Atur</c:v>
                </c:pt>
                <c:pt idx="5">
                  <c:v>Demandat</c:v>
                </c:pt>
                <c:pt idx="6">
                  <c:v>aturats sense prestació</c:v>
                </c:pt>
              </c:strCache>
            </c:strRef>
          </c:cat>
          <c:val>
            <c:numRef>
              <c:f>Hoja1!$I$9:$I$15</c:f>
              <c:numCache>
                <c:formatCode>General</c:formatCode>
                <c:ptCount val="7"/>
                <c:pt idx="0" formatCode="0.00">
                  <c:v>-0.26</c:v>
                </c:pt>
                <c:pt idx="1">
                  <c:v>-2.77</c:v>
                </c:pt>
                <c:pt idx="2">
                  <c:v>-6.01</c:v>
                </c:pt>
                <c:pt idx="3">
                  <c:v>-1.52</c:v>
                </c:pt>
                <c:pt idx="4">
                  <c:v>4.99</c:v>
                </c:pt>
                <c:pt idx="5">
                  <c:v>3.34</c:v>
                </c:pt>
                <c:pt idx="6" formatCode="0.00">
                  <c:v>8.67</c:v>
                </c:pt>
              </c:numCache>
            </c:numRef>
          </c:val>
        </c:ser>
        <c:dLbls>
          <c:showLegendKey val="0"/>
          <c:showVal val="0"/>
          <c:showCatName val="0"/>
          <c:showSerName val="0"/>
          <c:showPercent val="0"/>
          <c:showBubbleSize val="0"/>
        </c:dLbls>
        <c:gapWidth val="150"/>
        <c:axId val="162211712"/>
        <c:axId val="162213248"/>
      </c:barChart>
      <c:catAx>
        <c:axId val="162211712"/>
        <c:scaling>
          <c:orientation val="minMax"/>
        </c:scaling>
        <c:delete val="0"/>
        <c:axPos val="b"/>
        <c:majorTickMark val="out"/>
        <c:minorTickMark val="none"/>
        <c:tickLblPos val="nextTo"/>
        <c:crossAx val="162213248"/>
        <c:crosses val="autoZero"/>
        <c:auto val="1"/>
        <c:lblAlgn val="ctr"/>
        <c:lblOffset val="100"/>
        <c:noMultiLvlLbl val="0"/>
      </c:catAx>
      <c:valAx>
        <c:axId val="162213248"/>
        <c:scaling>
          <c:orientation val="minMax"/>
        </c:scaling>
        <c:delete val="0"/>
        <c:axPos val="l"/>
        <c:majorGridlines/>
        <c:numFmt formatCode="General" sourceLinked="1"/>
        <c:majorTickMark val="out"/>
        <c:minorTickMark val="none"/>
        <c:tickLblPos val="nextTo"/>
        <c:crossAx val="1622117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Hoja1!$I$8</c:f>
              <c:strCache>
                <c:ptCount val="1"/>
                <c:pt idx="0">
                  <c:v>%</c:v>
                </c:pt>
              </c:strCache>
            </c:strRef>
          </c:tx>
          <c:invertIfNegative val="0"/>
          <c:cat>
            <c:strRef>
              <c:f>Hoja1!$E$9:$E$15</c:f>
              <c:strCache>
                <c:ptCount val="7"/>
                <c:pt idx="0">
                  <c:v>Població</c:v>
                </c:pt>
                <c:pt idx="1">
                  <c:v>Cotització</c:v>
                </c:pt>
                <c:pt idx="2">
                  <c:v>Afiliats SS</c:v>
                </c:pt>
                <c:pt idx="3">
                  <c:v>Autònoms</c:v>
                </c:pt>
                <c:pt idx="4">
                  <c:v>Atur</c:v>
                </c:pt>
                <c:pt idx="5">
                  <c:v>Demandat</c:v>
                </c:pt>
                <c:pt idx="6">
                  <c:v>aturats sense prestació</c:v>
                </c:pt>
              </c:strCache>
            </c:strRef>
          </c:cat>
          <c:val>
            <c:numRef>
              <c:f>Hoja1!$I$9:$I$15</c:f>
              <c:numCache>
                <c:formatCode>General</c:formatCode>
                <c:ptCount val="7"/>
                <c:pt idx="0" formatCode="0.00">
                  <c:v>-0.26</c:v>
                </c:pt>
                <c:pt idx="1">
                  <c:v>-2.77</c:v>
                </c:pt>
                <c:pt idx="2">
                  <c:v>-6.01</c:v>
                </c:pt>
                <c:pt idx="3">
                  <c:v>-1.52</c:v>
                </c:pt>
                <c:pt idx="4">
                  <c:v>4.99</c:v>
                </c:pt>
                <c:pt idx="5">
                  <c:v>3.34</c:v>
                </c:pt>
                <c:pt idx="6" formatCode="0.00">
                  <c:v>8.67</c:v>
                </c:pt>
              </c:numCache>
            </c:numRef>
          </c:val>
        </c:ser>
        <c:dLbls>
          <c:showLegendKey val="0"/>
          <c:showVal val="0"/>
          <c:showCatName val="0"/>
          <c:showSerName val="0"/>
          <c:showPercent val="0"/>
          <c:showBubbleSize val="0"/>
        </c:dLbls>
        <c:gapWidth val="150"/>
        <c:axId val="162221056"/>
        <c:axId val="162222848"/>
      </c:barChart>
      <c:catAx>
        <c:axId val="162221056"/>
        <c:scaling>
          <c:orientation val="minMax"/>
        </c:scaling>
        <c:delete val="0"/>
        <c:axPos val="b"/>
        <c:majorTickMark val="out"/>
        <c:minorTickMark val="none"/>
        <c:tickLblPos val="nextTo"/>
        <c:crossAx val="162222848"/>
        <c:crosses val="autoZero"/>
        <c:auto val="1"/>
        <c:lblAlgn val="ctr"/>
        <c:lblOffset val="100"/>
        <c:noMultiLvlLbl val="0"/>
      </c:catAx>
      <c:valAx>
        <c:axId val="162222848"/>
        <c:scaling>
          <c:orientation val="minMax"/>
        </c:scaling>
        <c:delete val="0"/>
        <c:axPos val="l"/>
        <c:majorGridlines/>
        <c:numFmt formatCode="0.00" sourceLinked="1"/>
        <c:majorTickMark val="out"/>
        <c:minorTickMark val="none"/>
        <c:tickLblPos val="nextTo"/>
        <c:crossAx val="162221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2013-07-08T12:10:00Z</dcterms:created>
  <dcterms:modified xsi:type="dcterms:W3CDTF">2013-07-08T12:10:00Z</dcterms:modified>
</cp:coreProperties>
</file>